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left"/>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1</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rPr>
      </w:pPr>
      <w:r>
        <w:rPr>
          <w:rFonts w:hint="default" w:ascii="Times New Roman" w:hAnsi="Times New Roman" w:cs="Times New Roman"/>
          <w:b w:val="0"/>
          <w:bCs w:val="0"/>
          <w:color w:val="auto"/>
          <w:spacing w:val="0"/>
          <w:w w:val="100"/>
          <w:kern w:val="0"/>
          <w:sz w:val="44"/>
          <w:szCs w:val="44"/>
          <w:highlight w:val="none"/>
        </w:rPr>
        <w:t>专精特新中小企业认定标准</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sz w:val="32"/>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黑体简体" w:cs="Times New Roman"/>
          <w:b w:val="0"/>
          <w:bCs w:val="0"/>
          <w:color w:val="auto"/>
          <w:spacing w:val="0"/>
          <w:w w:val="100"/>
          <w:kern w:val="0"/>
          <w:sz w:val="32"/>
          <w:highlight w:val="none"/>
        </w:rPr>
      </w:pPr>
      <w:r>
        <w:rPr>
          <w:rFonts w:hint="default" w:ascii="Times New Roman" w:hAnsi="Times New Roman" w:eastAsia="方正黑体简体" w:cs="Times New Roman"/>
          <w:b w:val="0"/>
          <w:bCs w:val="0"/>
          <w:color w:val="auto"/>
          <w:spacing w:val="0"/>
          <w:w w:val="100"/>
          <w:kern w:val="0"/>
          <w:sz w:val="32"/>
          <w:highlight w:val="none"/>
        </w:rPr>
        <w:t>一、认定条件</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同时满足以下四项条件即视为满足认定条件：</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（一）从事特定细分市场时间达到2年以上。</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（二）上年度研发费用总额不低于100万元，且占营业收入总额比重不低于3%。</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（三）上年度营业收入总额在1000万元以上，或上年度营业收入总额在1000万元以下，但近2年新增股权融资总额（合格机构投资者的实缴额）达到2000万元以上。</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（四）评价得分达到60分以上或满足下列条件之一：</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spacing w:val="0"/>
          <w:kern w:val="0"/>
          <w:sz w:val="32"/>
          <w:szCs w:val="32"/>
          <w:highlight w:val="none"/>
          <w:lang w:eastAsia="zh-CN"/>
        </w:rPr>
      </w:pPr>
      <w:r>
        <w:rPr>
          <w:rFonts w:hint="default" w:ascii="Times New Roman" w:hAnsi="Times New Roman" w:eastAsia="方正仿宋简体" w:cs="Times New Roman"/>
          <w:color w:val="auto"/>
          <w:spacing w:val="0"/>
          <w:kern w:val="0"/>
          <w:sz w:val="32"/>
          <w:szCs w:val="32"/>
          <w:highlight w:val="none"/>
          <w:lang w:eastAsia="zh-CN"/>
        </w:rPr>
        <w:t>1</w:t>
      </w:r>
      <w:r>
        <w:rPr>
          <w:rFonts w:hint="default" w:ascii="Times New Roman" w:hAnsi="Times New Roman" w:eastAsia="方正仿宋简体" w:cs="Times New Roman"/>
          <w:color w:val="auto"/>
          <w:spacing w:val="0"/>
          <w:kern w:val="0"/>
          <w:sz w:val="32"/>
          <w:szCs w:val="32"/>
          <w:highlight w:val="none"/>
          <w:lang w:val="en-US" w:eastAsia="zh-CN"/>
        </w:rPr>
        <w:t>.</w:t>
      </w:r>
      <w:r>
        <w:rPr>
          <w:rFonts w:hint="default" w:ascii="Times New Roman" w:hAnsi="Times New Roman" w:eastAsia="方正仿宋简体" w:cs="Times New Roman"/>
          <w:color w:val="auto"/>
          <w:spacing w:val="0"/>
          <w:kern w:val="0"/>
          <w:sz w:val="32"/>
          <w:szCs w:val="32"/>
          <w:highlight w:val="none"/>
          <w:lang w:eastAsia="zh-CN"/>
        </w:rPr>
        <w:t>近三年获得过省级科技奖励，并在获奖单位中排名前三；或获得国家级科技奖励，并在获奖单位中排名前五。</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spacing w:val="0"/>
          <w:kern w:val="0"/>
          <w:sz w:val="32"/>
          <w:szCs w:val="32"/>
          <w:highlight w:val="none"/>
          <w:lang w:eastAsia="zh-CN"/>
        </w:rPr>
      </w:pPr>
      <w:r>
        <w:rPr>
          <w:rFonts w:hint="default" w:ascii="Times New Roman" w:hAnsi="Times New Roman" w:eastAsia="方正仿宋简体" w:cs="Times New Roman"/>
          <w:color w:val="auto"/>
          <w:spacing w:val="0"/>
          <w:kern w:val="0"/>
          <w:sz w:val="32"/>
          <w:szCs w:val="32"/>
          <w:highlight w:val="none"/>
          <w:lang w:eastAsia="zh-CN"/>
        </w:rPr>
        <w:t>2</w:t>
      </w:r>
      <w:r>
        <w:rPr>
          <w:rFonts w:hint="default" w:ascii="Times New Roman" w:hAnsi="Times New Roman" w:eastAsia="方正仿宋简体" w:cs="Times New Roman"/>
          <w:color w:val="auto"/>
          <w:spacing w:val="0"/>
          <w:kern w:val="0"/>
          <w:sz w:val="32"/>
          <w:szCs w:val="32"/>
          <w:highlight w:val="none"/>
          <w:lang w:val="en-US" w:eastAsia="zh-CN"/>
        </w:rPr>
        <w:t>.</w:t>
      </w:r>
      <w:r>
        <w:rPr>
          <w:rFonts w:hint="default" w:ascii="Times New Roman" w:hAnsi="Times New Roman" w:eastAsia="方正仿宋简体" w:cs="Times New Roman"/>
          <w:color w:val="auto"/>
          <w:spacing w:val="0"/>
          <w:kern w:val="0"/>
          <w:sz w:val="32"/>
          <w:szCs w:val="32"/>
          <w:highlight w:val="none"/>
          <w:lang w:eastAsia="zh-CN"/>
        </w:rPr>
        <w:t>近两年研发费用总额均值在1000万元以上。</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spacing w:val="0"/>
          <w:kern w:val="0"/>
          <w:sz w:val="32"/>
          <w:szCs w:val="32"/>
          <w:highlight w:val="none"/>
          <w:lang w:eastAsia="zh-CN"/>
        </w:rPr>
      </w:pPr>
      <w:r>
        <w:rPr>
          <w:rFonts w:hint="default" w:ascii="Times New Roman" w:hAnsi="Times New Roman" w:eastAsia="方正仿宋简体" w:cs="Times New Roman"/>
          <w:color w:val="auto"/>
          <w:spacing w:val="0"/>
          <w:kern w:val="0"/>
          <w:sz w:val="32"/>
          <w:szCs w:val="32"/>
          <w:highlight w:val="none"/>
          <w:lang w:eastAsia="zh-CN"/>
        </w:rPr>
        <w:t>3</w:t>
      </w:r>
      <w:r>
        <w:rPr>
          <w:rFonts w:hint="default" w:ascii="Times New Roman" w:hAnsi="Times New Roman" w:eastAsia="方正仿宋简体" w:cs="Times New Roman"/>
          <w:color w:val="auto"/>
          <w:spacing w:val="0"/>
          <w:kern w:val="0"/>
          <w:sz w:val="32"/>
          <w:szCs w:val="32"/>
          <w:highlight w:val="none"/>
          <w:lang w:val="en-US" w:eastAsia="zh-CN"/>
        </w:rPr>
        <w:t>.</w:t>
      </w:r>
      <w:r>
        <w:rPr>
          <w:rFonts w:hint="default" w:ascii="Times New Roman" w:hAnsi="Times New Roman" w:eastAsia="方正仿宋简体" w:cs="Times New Roman"/>
          <w:color w:val="auto"/>
          <w:spacing w:val="0"/>
          <w:kern w:val="0"/>
          <w:sz w:val="32"/>
          <w:szCs w:val="32"/>
          <w:highlight w:val="none"/>
          <w:lang w:eastAsia="zh-CN"/>
        </w:rPr>
        <w:t>近两年新增股权融资总额（合格机构投资者的实缴额）6000万元以上。</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spacing w:val="0"/>
          <w:kern w:val="0"/>
          <w:sz w:val="32"/>
          <w:szCs w:val="32"/>
          <w:highlight w:val="none"/>
          <w:lang w:eastAsia="zh-CN"/>
        </w:rPr>
      </w:pPr>
      <w:r>
        <w:rPr>
          <w:rFonts w:hint="default" w:ascii="Times New Roman" w:hAnsi="Times New Roman" w:eastAsia="方正仿宋简体" w:cs="Times New Roman"/>
          <w:color w:val="auto"/>
          <w:spacing w:val="0"/>
          <w:kern w:val="0"/>
          <w:sz w:val="32"/>
          <w:szCs w:val="32"/>
          <w:highlight w:val="none"/>
          <w:lang w:eastAsia="zh-CN"/>
        </w:rPr>
        <w:t>4</w:t>
      </w:r>
      <w:r>
        <w:rPr>
          <w:rFonts w:hint="default" w:ascii="Times New Roman" w:hAnsi="Times New Roman" w:eastAsia="方正仿宋简体" w:cs="Times New Roman"/>
          <w:color w:val="auto"/>
          <w:spacing w:val="0"/>
          <w:kern w:val="0"/>
          <w:sz w:val="32"/>
          <w:szCs w:val="32"/>
          <w:highlight w:val="none"/>
          <w:lang w:val="en-US" w:eastAsia="zh-CN"/>
        </w:rPr>
        <w:t>.</w:t>
      </w:r>
      <w:r>
        <w:rPr>
          <w:rFonts w:hint="default" w:ascii="Times New Roman" w:hAnsi="Times New Roman" w:eastAsia="方正仿宋简体" w:cs="Times New Roman"/>
          <w:color w:val="auto"/>
          <w:spacing w:val="0"/>
          <w:kern w:val="0"/>
          <w:sz w:val="32"/>
          <w:szCs w:val="32"/>
          <w:highlight w:val="none"/>
          <w:lang w:eastAsia="zh-CN"/>
        </w:rPr>
        <w:t>近</w:t>
      </w:r>
      <w:r>
        <w:rPr>
          <w:rFonts w:hint="default" w:ascii="Times New Roman" w:hAnsi="Times New Roman" w:eastAsia="方正仿宋简体" w:cs="Times New Roman"/>
          <w:snapToGrid w:val="0"/>
          <w:color w:val="auto"/>
          <w:spacing w:val="6"/>
          <w:kern w:val="0"/>
          <w:sz w:val="32"/>
          <w:szCs w:val="32"/>
          <w:highlight w:val="none"/>
          <w:lang w:eastAsia="zh-CN"/>
        </w:rPr>
        <w:t>三年进入“创客中国”中小企业创新创业大赛</w:t>
      </w:r>
      <w:r>
        <w:rPr>
          <w:rFonts w:hint="default" w:ascii="Times New Roman" w:hAnsi="Times New Roman" w:eastAsia="方正仿宋简体" w:cs="Times New Roman"/>
          <w:color w:val="auto"/>
          <w:spacing w:val="0"/>
          <w:kern w:val="0"/>
          <w:sz w:val="32"/>
          <w:szCs w:val="32"/>
          <w:highlight w:val="none"/>
          <w:lang w:eastAsia="zh-CN"/>
        </w:rPr>
        <w:t>全国500强企业组名单（指该大赛2021年以来正式发布的名单）。</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黑体简体" w:cs="Times New Roman"/>
          <w:b w:val="0"/>
          <w:bCs w:val="0"/>
          <w:color w:val="auto"/>
          <w:spacing w:val="0"/>
          <w:w w:val="100"/>
          <w:kern w:val="0"/>
          <w:sz w:val="32"/>
          <w:highlight w:val="none"/>
        </w:rPr>
      </w:pPr>
      <w:r>
        <w:rPr>
          <w:rFonts w:hint="default" w:ascii="Times New Roman" w:hAnsi="Times New Roman" w:eastAsia="方正黑体简体" w:cs="Times New Roman"/>
          <w:b w:val="0"/>
          <w:bCs w:val="0"/>
          <w:color w:val="auto"/>
          <w:spacing w:val="0"/>
          <w:w w:val="100"/>
          <w:kern w:val="0"/>
          <w:sz w:val="32"/>
          <w:highlight w:val="none"/>
        </w:rPr>
        <w:t>二、评价指标</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包括专业化、精细化、特色化和创新能力四类十</w:t>
      </w:r>
      <w:r>
        <w:rPr>
          <w:rFonts w:hint="default" w:ascii="Times New Roman" w:hAnsi="Times New Roman" w:eastAsia="方正仿宋简体" w:cs="Times New Roman"/>
          <w:b w:val="0"/>
          <w:bCs w:val="0"/>
          <w:color w:val="auto"/>
          <w:spacing w:val="0"/>
          <w:w w:val="100"/>
          <w:kern w:val="0"/>
          <w:sz w:val="32"/>
          <w:highlight w:val="none"/>
          <w:lang w:eastAsia="zh-CN"/>
        </w:rPr>
        <w:t>五</w:t>
      </w:r>
      <w:r>
        <w:rPr>
          <w:rFonts w:hint="default" w:ascii="Times New Roman" w:hAnsi="Times New Roman" w:eastAsia="方正仿宋简体" w:cs="Times New Roman"/>
          <w:b w:val="0"/>
          <w:bCs w:val="0"/>
          <w:color w:val="auto"/>
          <w:spacing w:val="0"/>
          <w:w w:val="100"/>
          <w:kern w:val="0"/>
          <w:sz w:val="32"/>
          <w:highlight w:val="none"/>
        </w:rPr>
        <w:t>个指标，评价结果依分值计算，满分为100分。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eastAsia="zh-CN"/>
        </w:rPr>
        <w:t>（一）</w:t>
      </w:r>
      <w:r>
        <w:rPr>
          <w:rFonts w:hint="default" w:ascii="Times New Roman" w:hAnsi="Times New Roman" w:eastAsia="方正仿宋简体" w:cs="Times New Roman"/>
          <w:b w:val="0"/>
          <w:bCs w:val="0"/>
          <w:color w:val="auto"/>
          <w:spacing w:val="0"/>
          <w:w w:val="100"/>
          <w:kern w:val="0"/>
          <w:sz w:val="32"/>
          <w:highlight w:val="none"/>
        </w:rPr>
        <w:t>专业化指标（25分）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1.</w:t>
      </w:r>
      <w:r>
        <w:rPr>
          <w:rFonts w:hint="default" w:ascii="Times New Roman" w:hAnsi="Times New Roman" w:eastAsia="方正仿宋简体" w:cs="Times New Roman"/>
          <w:b w:val="0"/>
          <w:bCs w:val="0"/>
          <w:snapToGrid w:val="0"/>
          <w:color w:val="auto"/>
          <w:spacing w:val="0"/>
          <w:w w:val="100"/>
          <w:kern w:val="0"/>
          <w:sz w:val="32"/>
          <w:highlight w:val="none"/>
        </w:rPr>
        <w:t>上年度主营业务收入总额占营业收入总额比重（5 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A.80%以上（5分）</w:t>
      </w:r>
      <w:r>
        <w:rPr>
          <w:rFonts w:hint="default" w:ascii="Times New Roman" w:hAnsi="Times New Roman" w:eastAsia="方正仿宋简体" w:cs="Times New Roman"/>
          <w:b w:val="0"/>
          <w:bCs w:val="0"/>
          <w:color w:val="auto"/>
          <w:spacing w:val="0"/>
          <w:w w:val="100"/>
          <w:kern w:val="0"/>
          <w:sz w:val="32"/>
          <w:highlight w:val="none"/>
          <w:lang w:val="en-US" w:eastAsia="zh-CN"/>
        </w:rPr>
        <w:t xml:space="preserve">   </w:t>
      </w:r>
      <w:r>
        <w:rPr>
          <w:rFonts w:hint="default" w:ascii="Times New Roman" w:hAnsi="Times New Roman" w:eastAsia="方正仿宋简体" w:cs="Times New Roman"/>
          <w:b w:val="0"/>
          <w:bCs w:val="0"/>
          <w:color w:val="auto"/>
          <w:spacing w:val="0"/>
          <w:w w:val="100"/>
          <w:kern w:val="0"/>
          <w:sz w:val="32"/>
          <w:highlight w:val="none"/>
        </w:rPr>
        <w:t>B.70%-80%（3分）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C.60%-70%（1分）</w:t>
      </w:r>
      <w:r>
        <w:rPr>
          <w:rFonts w:hint="default" w:ascii="Times New Roman" w:hAnsi="Times New Roman" w:eastAsia="方正仿宋简体" w:cs="Times New Roman"/>
          <w:b w:val="0"/>
          <w:bCs w:val="0"/>
          <w:color w:val="auto"/>
          <w:spacing w:val="0"/>
          <w:w w:val="100"/>
          <w:kern w:val="0"/>
          <w:sz w:val="32"/>
          <w:highlight w:val="none"/>
          <w:lang w:val="en-US" w:eastAsia="zh-CN"/>
        </w:rPr>
        <w:t xml:space="preserve">   </w:t>
      </w:r>
      <w:r>
        <w:rPr>
          <w:rFonts w:hint="default" w:ascii="Times New Roman" w:hAnsi="Times New Roman" w:eastAsia="方正仿宋简体" w:cs="Times New Roman"/>
          <w:b w:val="0"/>
          <w:bCs w:val="0"/>
          <w:color w:val="auto"/>
          <w:spacing w:val="0"/>
          <w:w w:val="100"/>
          <w:kern w:val="0"/>
          <w:sz w:val="32"/>
          <w:highlight w:val="none"/>
        </w:rPr>
        <w:t>D.60%以下（0分）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2.</w:t>
      </w:r>
      <w:r>
        <w:rPr>
          <w:rFonts w:hint="default" w:ascii="Times New Roman" w:hAnsi="Times New Roman" w:eastAsia="方正仿宋简体" w:cs="Times New Roman"/>
          <w:b w:val="0"/>
          <w:bCs w:val="0"/>
          <w:snapToGrid w:val="0"/>
          <w:color w:val="auto"/>
          <w:spacing w:val="0"/>
          <w:w w:val="100"/>
          <w:kern w:val="0"/>
          <w:sz w:val="32"/>
          <w:highlight w:val="none"/>
        </w:rPr>
        <w:t>近2年主营业务收入平均增长率（10分）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rPr>
        <w:t>A.10%以上（10分）</w:t>
      </w: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 xml:space="preserve">  </w:t>
      </w:r>
      <w:r>
        <w:rPr>
          <w:rFonts w:hint="default" w:ascii="Times New Roman" w:hAnsi="Times New Roman" w:eastAsia="方正仿宋简体" w:cs="Times New Roman"/>
          <w:b w:val="0"/>
          <w:bCs w:val="0"/>
          <w:snapToGrid w:val="0"/>
          <w:color w:val="auto"/>
          <w:spacing w:val="0"/>
          <w:w w:val="100"/>
          <w:kern w:val="0"/>
          <w:sz w:val="32"/>
          <w:highlight w:val="none"/>
        </w:rPr>
        <w:t>B.8%-10%（8分）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rPr>
        <w:t>C.6%-8%（6分）</w:t>
      </w: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 xml:space="preserve">     </w:t>
      </w:r>
      <w:r>
        <w:rPr>
          <w:rFonts w:hint="default" w:ascii="Times New Roman" w:hAnsi="Times New Roman" w:eastAsia="方正仿宋简体" w:cs="Times New Roman"/>
          <w:b w:val="0"/>
          <w:bCs w:val="0"/>
          <w:snapToGrid w:val="0"/>
          <w:color w:val="auto"/>
          <w:spacing w:val="0"/>
          <w:w w:val="100"/>
          <w:kern w:val="0"/>
          <w:sz w:val="32"/>
          <w:highlight w:val="none"/>
        </w:rPr>
        <w:t>D.4%-6%（4分）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rPr>
        <w:t>E.0%-4%（2分）</w:t>
      </w: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 xml:space="preserve">     F.</w:t>
      </w:r>
      <w:r>
        <w:rPr>
          <w:rFonts w:hint="default" w:ascii="Times New Roman" w:hAnsi="Times New Roman" w:eastAsia="方正仿宋简体" w:cs="Times New Roman"/>
          <w:b w:val="0"/>
          <w:bCs w:val="0"/>
          <w:snapToGrid w:val="0"/>
          <w:color w:val="auto"/>
          <w:spacing w:val="0"/>
          <w:w w:val="100"/>
          <w:kern w:val="0"/>
          <w:sz w:val="32"/>
          <w:highlight w:val="none"/>
        </w:rPr>
        <w:t>0%以下（0分）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3.</w:t>
      </w:r>
      <w:r>
        <w:rPr>
          <w:rFonts w:hint="default" w:ascii="Times New Roman" w:hAnsi="Times New Roman" w:eastAsia="方正仿宋简体" w:cs="Times New Roman"/>
          <w:b w:val="0"/>
          <w:bCs w:val="0"/>
          <w:snapToGrid w:val="0"/>
          <w:color w:val="auto"/>
          <w:spacing w:val="0"/>
          <w:w w:val="100"/>
          <w:kern w:val="0"/>
          <w:sz w:val="32"/>
          <w:highlight w:val="none"/>
        </w:rPr>
        <w:t>从事特定细分市场年限（5分）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rPr>
        <w:t>每满2年得1分，最高不超过5分。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方正仿宋简体" w:cs="Times New Roman"/>
          <w:b w:val="0"/>
          <w:bCs w:val="0"/>
          <w:snapToGrid w:val="0"/>
          <w:color w:val="auto"/>
          <w:spacing w:val="0"/>
          <w:w w:val="100"/>
          <w:kern w:val="0"/>
          <w:sz w:val="32"/>
          <w:highlight w:val="none"/>
        </w:rPr>
      </w:pPr>
      <w:r>
        <w:rPr>
          <w:rFonts w:hint="default" w:ascii="Times New Roman" w:hAnsi="Times New Roman" w:eastAsia="方正仿宋简体" w:cs="Times New Roman"/>
          <w:b w:val="0"/>
          <w:bCs w:val="0"/>
          <w:snapToGrid w:val="0"/>
          <w:color w:val="auto"/>
          <w:spacing w:val="0"/>
          <w:w w:val="100"/>
          <w:kern w:val="0"/>
          <w:sz w:val="32"/>
          <w:highlight w:val="none"/>
          <w:lang w:val="en-US" w:eastAsia="zh-CN"/>
        </w:rPr>
        <w:t>4.</w:t>
      </w:r>
      <w:r>
        <w:rPr>
          <w:rFonts w:hint="default" w:ascii="Times New Roman" w:hAnsi="Times New Roman" w:eastAsia="方正仿宋简体" w:cs="Times New Roman"/>
          <w:b w:val="0"/>
          <w:bCs w:val="0"/>
          <w:snapToGrid w:val="0"/>
          <w:color w:val="auto"/>
          <w:spacing w:val="0"/>
          <w:w w:val="100"/>
          <w:kern w:val="0"/>
          <w:sz w:val="32"/>
          <w:highlight w:val="none"/>
        </w:rPr>
        <w:t>主导产品所属领域情况（5分）</w:t>
      </w:r>
    </w:p>
    <w:p>
      <w:pPr>
        <w:pStyle w:val="12"/>
        <w:keepNext w:val="0"/>
        <w:keepLines w:val="0"/>
        <w:pageBreakBefore w:val="0"/>
        <w:widowControl w:val="0"/>
        <w:numPr>
          <w:ilvl w:val="0"/>
          <w:numId w:val="0"/>
        </w:numPr>
        <w:tabs>
          <w:tab w:val="left" w:pos="143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A.</w:t>
      </w:r>
      <w:r>
        <w:rPr>
          <w:rFonts w:hint="default" w:ascii="Times New Roman" w:hAnsi="Times New Roman" w:eastAsia="方正仿宋简体" w:cs="Times New Roman"/>
          <w:b w:val="0"/>
          <w:bCs w:val="0"/>
          <w:color w:val="auto"/>
          <w:spacing w:val="0"/>
          <w:w w:val="100"/>
          <w:kern w:val="0"/>
          <w:sz w:val="32"/>
          <w:highlight w:val="none"/>
        </w:rPr>
        <w:t>在产业链供应链关键环节及关键领域</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补短板</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锻长板</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填空白</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取得实际成效（5分）</w:t>
      </w:r>
    </w:p>
    <w:p>
      <w:pPr>
        <w:pStyle w:val="12"/>
        <w:keepNext w:val="0"/>
        <w:keepLines w:val="0"/>
        <w:pageBreakBefore w:val="0"/>
        <w:widowControl w:val="0"/>
        <w:numPr>
          <w:ilvl w:val="0"/>
          <w:numId w:val="0"/>
        </w:numPr>
        <w:tabs>
          <w:tab w:val="left" w:pos="141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B.</w:t>
      </w:r>
      <w:r>
        <w:rPr>
          <w:rFonts w:hint="default" w:ascii="Times New Roman" w:hAnsi="Times New Roman" w:eastAsia="方正仿宋简体" w:cs="Times New Roman"/>
          <w:b w:val="0"/>
          <w:bCs w:val="0"/>
          <w:color w:val="auto"/>
          <w:spacing w:val="0"/>
          <w:w w:val="100"/>
          <w:kern w:val="0"/>
          <w:sz w:val="32"/>
          <w:highlight w:val="none"/>
        </w:rPr>
        <w:t>属于工业</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六基</w:t>
      </w:r>
      <w:r>
        <w:rPr>
          <w:rFonts w:hint="default" w:ascii="Times New Roman" w:hAnsi="Times New Roman" w:eastAsia="方正仿宋简体" w:cs="Times New Roman"/>
          <w:b w:val="0"/>
          <w:bCs w:val="0"/>
          <w:color w:val="auto"/>
          <w:spacing w:val="0"/>
          <w:w w:val="100"/>
          <w:kern w:val="0"/>
          <w:sz w:val="32"/>
          <w:highlight w:val="none"/>
          <w:lang w:eastAsia="zh-CN"/>
        </w:rPr>
        <w:t>”</w:t>
      </w:r>
      <w:r>
        <w:rPr>
          <w:rFonts w:hint="default" w:ascii="Times New Roman" w:hAnsi="Times New Roman" w:eastAsia="方正仿宋简体" w:cs="Times New Roman"/>
          <w:b w:val="0"/>
          <w:bCs w:val="0"/>
          <w:color w:val="auto"/>
          <w:spacing w:val="0"/>
          <w:w w:val="100"/>
          <w:kern w:val="0"/>
          <w:sz w:val="32"/>
          <w:highlight w:val="none"/>
        </w:rPr>
        <w:t>领域、中华老字号名录或企业主导 产品服务关键产业链重点龙头企业（3分）</w:t>
      </w:r>
    </w:p>
    <w:p>
      <w:pPr>
        <w:pStyle w:val="12"/>
        <w:keepNext w:val="0"/>
        <w:keepLines w:val="0"/>
        <w:pageBreakBefore w:val="0"/>
        <w:widowControl w:val="0"/>
        <w:numPr>
          <w:ilvl w:val="0"/>
          <w:numId w:val="0"/>
        </w:numPr>
        <w:tabs>
          <w:tab w:val="left" w:pos="141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C.</w:t>
      </w:r>
      <w:r>
        <w:rPr>
          <w:rFonts w:hint="default" w:ascii="Times New Roman" w:hAnsi="Times New Roman" w:eastAsia="方正仿宋简体" w:cs="Times New Roman"/>
          <w:b w:val="0"/>
          <w:bCs w:val="0"/>
          <w:color w:val="auto"/>
          <w:spacing w:val="0"/>
          <w:w w:val="100"/>
          <w:kern w:val="0"/>
          <w:sz w:val="32"/>
          <w:highlight w:val="none"/>
        </w:rPr>
        <w:t>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（二）精细化指标（2 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5.</w:t>
      </w:r>
      <w:r>
        <w:rPr>
          <w:rFonts w:hint="default" w:ascii="Times New Roman" w:hAnsi="Times New Roman" w:eastAsia="方正仿宋简体" w:cs="Times New Roman"/>
          <w:color w:val="auto"/>
          <w:kern w:val="0"/>
          <w:sz w:val="32"/>
          <w:szCs w:val="32"/>
          <w:highlight w:val="none"/>
        </w:rPr>
        <w:t>数字化水平（5分）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A.</w:t>
      </w:r>
      <w:r>
        <w:rPr>
          <w:rFonts w:hint="default" w:ascii="Times New Roman" w:hAnsi="Times New Roman" w:eastAsia="方正仿宋简体" w:cs="Times New Roman"/>
          <w:color w:val="auto"/>
          <w:kern w:val="0"/>
          <w:sz w:val="32"/>
          <w:szCs w:val="32"/>
          <w:highlight w:val="none"/>
        </w:rPr>
        <w:t>三级以上（5分）</w:t>
      </w:r>
      <w:r>
        <w:rPr>
          <w:rFonts w:hint="default" w:ascii="Times New Roman" w:hAnsi="Times New Roman" w:eastAsia="方正仿宋简体" w:cs="Times New Roman"/>
          <w:color w:val="auto"/>
          <w:kern w:val="0"/>
          <w:sz w:val="32"/>
          <w:szCs w:val="32"/>
          <w:highlight w:val="none"/>
          <w:lang w:val="en-US" w:eastAsia="zh-CN"/>
        </w:rPr>
        <w:t xml:space="preserve">  B.</w:t>
      </w:r>
      <w:r>
        <w:rPr>
          <w:rFonts w:hint="default" w:ascii="Times New Roman" w:hAnsi="Times New Roman" w:eastAsia="方正仿宋简体" w:cs="Times New Roman"/>
          <w:color w:val="auto"/>
          <w:kern w:val="0"/>
          <w:sz w:val="32"/>
          <w:szCs w:val="32"/>
          <w:highlight w:val="none"/>
        </w:rPr>
        <w:t>二级（3分）</w:t>
      </w:r>
      <w:r>
        <w:rPr>
          <w:rFonts w:hint="default" w:ascii="Times New Roman" w:hAnsi="Times New Roman" w:eastAsia="方正仿宋简体" w:cs="Times New Roman"/>
          <w:color w:val="auto"/>
          <w:kern w:val="0"/>
          <w:sz w:val="32"/>
          <w:szCs w:val="32"/>
          <w:highlight w:val="none"/>
          <w:lang w:val="en-US" w:eastAsia="zh-CN"/>
        </w:rPr>
        <w:t xml:space="preserve">  C.</w:t>
      </w:r>
      <w:r>
        <w:rPr>
          <w:rFonts w:hint="default" w:ascii="Times New Roman" w:hAnsi="Times New Roman" w:eastAsia="方正仿宋简体" w:cs="Times New Roman"/>
          <w:color w:val="auto"/>
          <w:kern w:val="0"/>
          <w:sz w:val="32"/>
          <w:szCs w:val="32"/>
          <w:highlight w:val="none"/>
        </w:rPr>
        <w:t>一级（0分）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6.</w:t>
      </w:r>
      <w:r>
        <w:rPr>
          <w:rFonts w:hint="default" w:ascii="Times New Roman" w:hAnsi="Times New Roman" w:eastAsia="方正仿宋简体" w:cs="Times New Roman"/>
          <w:color w:val="auto"/>
          <w:kern w:val="0"/>
          <w:sz w:val="32"/>
          <w:szCs w:val="32"/>
          <w:highlight w:val="none"/>
        </w:rPr>
        <w:t>质量管理水平（每满足一项加3分，最高不超过5分）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A.获得省级以上质量奖荣誉；</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B.建立质量管理体系，获得ISO9001等质量管理体系认证证书；</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C.拥有自主品牌；   D.参与制修订标准；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7.</w:t>
      </w:r>
      <w:r>
        <w:rPr>
          <w:rFonts w:hint="default" w:ascii="Times New Roman" w:hAnsi="Times New Roman" w:eastAsia="方正仿宋简体" w:cs="Times New Roman"/>
          <w:color w:val="auto"/>
          <w:kern w:val="0"/>
          <w:sz w:val="32"/>
          <w:szCs w:val="32"/>
          <w:highlight w:val="none"/>
        </w:rPr>
        <w:t>上年度净利润率（10分）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A.10%以上（10分）    B.8%-10%（8分）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C.6%-8%（6分）       D.4%-6%（4分）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E.2%-4%（2分）       F.2%以下（0分）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8.</w:t>
      </w:r>
      <w:r>
        <w:rPr>
          <w:rFonts w:hint="default" w:ascii="Times New Roman" w:hAnsi="Times New Roman" w:eastAsia="方正仿宋简体" w:cs="Times New Roman"/>
          <w:color w:val="auto"/>
          <w:kern w:val="0"/>
          <w:sz w:val="32"/>
          <w:szCs w:val="32"/>
          <w:highlight w:val="none"/>
        </w:rPr>
        <w:t>上年度资产负债率（5分）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A.50%以下（5分）     B.50%-60%（3分）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C.60%-70%（1分）     D.70%以上（0 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（三）特色化指标（15分）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9.属于“5+1”现代工业体系、“4+6”现代服务业体系、“10+3”现代农业体系</w:t>
      </w:r>
      <w:r>
        <w:rPr>
          <w:rFonts w:hint="default" w:ascii="Times New Roman" w:hAnsi="Times New Roman" w:eastAsia="方正仿宋简体" w:cs="Times New Roman"/>
          <w:color w:val="auto"/>
          <w:kern w:val="0"/>
          <w:sz w:val="32"/>
          <w:szCs w:val="32"/>
          <w:highlight w:val="none"/>
        </w:rPr>
        <w:t>（5分）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A.产业领域</w:t>
      </w:r>
      <w:r>
        <w:rPr>
          <w:rFonts w:hint="default" w:ascii="Times New Roman" w:hAnsi="Times New Roman" w:eastAsia="方正仿宋简体" w:cs="Times New Roman"/>
          <w:b w:val="0"/>
          <w:bCs w:val="0"/>
          <w:color w:val="auto"/>
          <w:spacing w:val="0"/>
          <w:w w:val="100"/>
          <w:kern w:val="0"/>
          <w:sz w:val="32"/>
          <w:highlight w:val="none"/>
        </w:rPr>
        <w:t>属</w:t>
      </w:r>
      <w:r>
        <w:rPr>
          <w:rFonts w:hint="default" w:ascii="Times New Roman" w:hAnsi="Times New Roman" w:eastAsia="方正仿宋简体" w:cs="Times New Roman"/>
          <w:b w:val="0"/>
          <w:bCs w:val="0"/>
          <w:color w:val="auto"/>
          <w:spacing w:val="0"/>
          <w:w w:val="100"/>
          <w:kern w:val="0"/>
          <w:sz w:val="32"/>
          <w:highlight w:val="none"/>
          <w:lang w:eastAsia="zh-CN"/>
        </w:rPr>
        <w:t>于上述一项及以上</w:t>
      </w:r>
      <w:r>
        <w:rPr>
          <w:rFonts w:hint="default" w:ascii="Times New Roman" w:hAnsi="Times New Roman" w:eastAsia="方正仿宋简体" w:cs="Times New Roman"/>
          <w:b w:val="0"/>
          <w:bCs w:val="0"/>
          <w:color w:val="auto"/>
          <w:spacing w:val="0"/>
          <w:w w:val="100"/>
          <w:kern w:val="0"/>
          <w:sz w:val="32"/>
          <w:highlight w:val="none"/>
        </w:rPr>
        <w:t>（</w:t>
      </w:r>
      <w:r>
        <w:rPr>
          <w:rFonts w:hint="default" w:ascii="Times New Roman" w:hAnsi="Times New Roman" w:eastAsia="方正仿宋简体" w:cs="Times New Roman"/>
          <w:b w:val="0"/>
          <w:bCs w:val="0"/>
          <w:color w:val="auto"/>
          <w:spacing w:val="0"/>
          <w:w w:val="100"/>
          <w:kern w:val="0"/>
          <w:sz w:val="32"/>
          <w:highlight w:val="none"/>
          <w:lang w:val="en-US" w:eastAsia="zh-CN"/>
        </w:rPr>
        <w:t>5</w:t>
      </w:r>
      <w:r>
        <w:rPr>
          <w:rFonts w:hint="default" w:ascii="Times New Roman" w:hAnsi="Times New Roman" w:eastAsia="方正仿宋简体" w:cs="Times New Roman"/>
          <w:b w:val="0"/>
          <w:bCs w:val="0"/>
          <w:color w:val="auto"/>
          <w:spacing w:val="0"/>
          <w:w w:val="100"/>
          <w:kern w:val="0"/>
          <w:sz w:val="32"/>
          <w:highlight w:val="none"/>
        </w:rPr>
        <w:t>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B.不属于上述情况</w:t>
      </w:r>
      <w:r>
        <w:rPr>
          <w:rFonts w:hint="default" w:ascii="Times New Roman" w:hAnsi="Times New Roman" w:eastAsia="方正仿宋简体" w:cs="Times New Roman"/>
          <w:b w:val="0"/>
          <w:bCs w:val="0"/>
          <w:color w:val="auto"/>
          <w:spacing w:val="0"/>
          <w:w w:val="100"/>
          <w:kern w:val="0"/>
          <w:sz w:val="32"/>
          <w:highlight w:val="none"/>
        </w:rPr>
        <w:t>（0分）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10.企业转型升级发展情况（5分）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A.获认定为国家级首台（套）、绿色制造示范企业、工业互联网平台、智能（互联）工厂、数字化车间，满足一项及以上（5分）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B.获认定为省级首台（套）、绿色制造示范企业、工业互联网平台、智能（互联）工厂、数字化车间、节水型企业</w:t>
      </w:r>
      <w:r>
        <w:rPr>
          <w:rFonts w:hint="default" w:ascii="Times New Roman" w:hAnsi="Times New Roman" w:eastAsia="方正仿宋简体" w:cs="Times New Roman"/>
          <w:b w:val="0"/>
          <w:bCs w:val="0"/>
          <w:color w:val="auto"/>
          <w:spacing w:val="0"/>
          <w:w w:val="100"/>
          <w:kern w:val="0"/>
          <w:sz w:val="32"/>
          <w:szCs w:val="32"/>
          <w:highlight w:val="none"/>
          <w:lang w:eastAsia="zh-CN"/>
        </w:rPr>
        <w:t>、</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近三年获得“创客中国·创业天府”四川省中小企业创新创业大赛总决赛优胜奖及以上名次，满足一项及以上（3分）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C.不属于以上情况（0分）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11</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.细分市场领先地位（5分）　　</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A.国内细分市场占有率超过10%，或位居全国前三（5分）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B.国内细分市场占有率位居全国前十或本省前五（4分）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C.国内细分市场占有率位居本省前十（3分）　　</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D.不属于以上情况（0分）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（四）创新能力指标（35分）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12.</w:t>
      </w:r>
      <w:r>
        <w:rPr>
          <w:rFonts w:hint="default" w:ascii="Times New Roman" w:hAnsi="Times New Roman" w:eastAsia="方正仿宋简体" w:cs="Times New Roman"/>
          <w:color w:val="auto"/>
          <w:kern w:val="0"/>
          <w:sz w:val="32"/>
          <w:szCs w:val="32"/>
          <w:highlight w:val="none"/>
        </w:rPr>
        <w:t>与企业主导产品相关的有效知识产权数量（10分）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A.Ⅰ类高价值知识产权1项以上（10分）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B.自主研发Ⅰ类知识产权1项以上（8分）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C.Ⅰ类知识产权1项以上（6分）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D.Ⅱ类知识产权1项以上（2分）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E.无（0分）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13.</w:t>
      </w:r>
      <w:r>
        <w:rPr>
          <w:rFonts w:hint="default" w:ascii="Times New Roman" w:hAnsi="Times New Roman" w:eastAsia="方正仿宋简体" w:cs="Times New Roman"/>
          <w:color w:val="auto"/>
          <w:kern w:val="0"/>
          <w:sz w:val="32"/>
          <w:szCs w:val="32"/>
          <w:highlight w:val="none"/>
        </w:rPr>
        <w:t>上年度研发费用投入（10分）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A.研发费用总额500万元以上或研发费用总额占营业收入总额比重在10%以上（10分）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B.研发费用总额400-500万元或研发费用总额占营业收入总额比重在8%-10%（8分）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C.研发费用总额300-400万元或研发费用总额占营业收入总额比重在6%-8%（6分）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D.研发费用总额200-300万元或研发费用总额占营业收入总额比重在4%-6%（4分）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bookmarkStart w:id="0" w:name="附件3"/>
      <w:bookmarkEnd w:id="0"/>
      <w:bookmarkStart w:id="1" w:name="附件3"/>
      <w:bookmarkEnd w:id="1"/>
      <w:r>
        <w:rPr>
          <w:rFonts w:hint="default" w:ascii="Times New Roman" w:hAnsi="Times New Roman" w:eastAsia="方正仿宋简体" w:cs="Times New Roman"/>
          <w:color w:val="auto"/>
          <w:kern w:val="0"/>
          <w:sz w:val="32"/>
          <w:szCs w:val="32"/>
          <w:highlight w:val="none"/>
          <w:lang w:val="en-US" w:eastAsia="zh-CN"/>
        </w:rPr>
        <w:t>E.研发费用总额100-200万元或研发费用总额占营业收入总额比重在3%-4%（2分）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F.不属于以上情况（0分）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14.</w:t>
      </w:r>
      <w:r>
        <w:rPr>
          <w:rFonts w:hint="default" w:ascii="Times New Roman" w:hAnsi="Times New Roman" w:eastAsia="方正仿宋简体" w:cs="Times New Roman"/>
          <w:color w:val="auto"/>
          <w:kern w:val="0"/>
          <w:sz w:val="32"/>
          <w:szCs w:val="32"/>
          <w:highlight w:val="none"/>
        </w:rPr>
        <w:t>上年度研发人员占比（5分）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A.20%以上（5分）    B.10%-20%（3分）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C.5%-10%（1分）     D.5%以下（0分）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val="en-US" w:eastAsia="zh-CN"/>
        </w:rPr>
        <w:t>15.</w:t>
      </w:r>
      <w:r>
        <w:rPr>
          <w:rFonts w:hint="default" w:ascii="Times New Roman" w:hAnsi="Times New Roman" w:eastAsia="方正仿宋简体" w:cs="Times New Roman"/>
          <w:color w:val="auto"/>
          <w:kern w:val="0"/>
          <w:sz w:val="32"/>
          <w:szCs w:val="32"/>
          <w:highlight w:val="none"/>
        </w:rPr>
        <w:t>建立研发机构级别（10分）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A.国家级（10分）    B.省级（8分）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C.市级（4分）       D.市级以下（2分）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kern w:val="0"/>
          <w:sz w:val="32"/>
          <w:szCs w:val="32"/>
          <w:highlight w:val="none"/>
          <w:lang w:val="en-US" w:eastAsia="zh-CN"/>
        </w:rPr>
        <w:t>E.未建立研发机构（0分）</w:t>
      </w: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方正仿宋简体" w:cs="Times New Roman"/>
          <w:b w:val="0"/>
          <w:bCs w:val="0"/>
          <w:color w:val="auto"/>
          <w:spacing w:val="0"/>
          <w:w w:val="100"/>
          <w:kern w:val="0"/>
          <w:highlight w:val="none"/>
          <w:lang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autoSpaceDE/>
        <w:autoSpaceDN/>
        <w:bidi w:val="0"/>
        <w:adjustRightInd w:val="0"/>
        <w:snapToGrid w:val="0"/>
        <w:spacing w:line="580" w:lineRule="exact"/>
        <w:ind w:left="0" w:leftChars="0"/>
        <w:textAlignment w:val="auto"/>
        <w:rPr>
          <w:rFonts w:hint="default" w:ascii="Times New Roman" w:hAnsi="Times New Roman" w:cs="Times New Roman"/>
          <w:b w:val="0"/>
          <w:bCs w:val="0"/>
          <w:color w:val="auto"/>
          <w:spacing w:val="0"/>
          <w:w w:val="100"/>
          <w:kern w:val="0"/>
          <w:sz w:val="44"/>
          <w:szCs w:val="44"/>
          <w:highlight w:val="none"/>
          <w:lang w:eastAsia="zh-CN"/>
        </w:rPr>
      </w:pPr>
      <w:r>
        <w:rPr>
          <w:rFonts w:hint="default" w:ascii="Times New Roman" w:hAnsi="Times New Roman" w:eastAsia="黑体" w:cs="Times New Roman"/>
          <w:color w:val="auto"/>
          <w:sz w:val="32"/>
          <w:szCs w:val="32"/>
          <w:highlight w:val="none"/>
        </w:rPr>
        <w:t>附</w:t>
      </w:r>
      <w:r>
        <w:rPr>
          <w:rFonts w:hint="default" w:ascii="Times New Roman" w:hAnsi="Times New Roman" w:eastAsia="黑体" w:cs="Times New Roman"/>
          <w:color w:val="auto"/>
          <w:sz w:val="32"/>
          <w:szCs w:val="32"/>
          <w:highlight w:val="none"/>
          <w:lang w:eastAsia="zh-CN"/>
        </w:rPr>
        <w:t>件</w:t>
      </w:r>
      <w:r>
        <w:rPr>
          <w:rFonts w:hint="eastAsia" w:ascii="Times New Roman" w:hAnsi="Times New Roman" w:eastAsia="黑体" w:cs="Times New Roman"/>
          <w:color w:val="auto"/>
          <w:sz w:val="32"/>
          <w:szCs w:val="32"/>
          <w:highlight w:val="none"/>
          <w:lang w:val="en-US" w:eastAsia="zh-CN"/>
        </w:rPr>
        <w:t>2</w:t>
      </w: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lang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lang w:eastAsia="zh-CN"/>
        </w:rPr>
      </w:pPr>
      <w:r>
        <w:rPr>
          <w:rFonts w:hint="default" w:ascii="Times New Roman" w:hAnsi="Times New Roman" w:cs="Times New Roman"/>
          <w:b w:val="0"/>
          <w:bCs w:val="0"/>
          <w:color w:val="auto"/>
          <w:spacing w:val="0"/>
          <w:w w:val="100"/>
          <w:kern w:val="0"/>
          <w:sz w:val="44"/>
          <w:szCs w:val="44"/>
          <w:highlight w:val="none"/>
          <w:lang w:eastAsia="zh-CN"/>
        </w:rPr>
        <w:t>专精特新中小企业佐证材料</w:t>
      </w: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楷体_GB2312" w:cs="Times New Roman"/>
          <w:b w:val="0"/>
          <w:bCs w:val="0"/>
          <w:snapToGrid w:val="0"/>
          <w:color w:val="auto"/>
          <w:spacing w:val="0"/>
          <w:w w:val="100"/>
          <w:kern w:val="0"/>
          <w:sz w:val="32"/>
          <w:szCs w:val="32"/>
          <w:highlight w:val="none"/>
          <w:shd w:val="clear" w:color="auto" w:fill="auto"/>
        </w:rPr>
      </w:pP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rPr>
      </w:pPr>
      <w:r>
        <w:rPr>
          <w:rFonts w:hint="default" w:ascii="Times New Roman" w:hAnsi="Times New Roman" w:eastAsia="方正仿宋简体" w:cs="Times New Roman"/>
          <w:color w:val="auto"/>
          <w:sz w:val="32"/>
          <w:szCs w:val="32"/>
          <w:highlight w:val="none"/>
          <w:shd w:val="clear" w:color="auto" w:fill="FFFFFF"/>
        </w:rPr>
        <w:t>1.企业营业执照复印件。</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shd w:val="clear" w:color="auto" w:fill="FFFFFF"/>
        </w:rPr>
      </w:pPr>
      <w:r>
        <w:rPr>
          <w:rFonts w:hint="default" w:ascii="Times New Roman" w:hAnsi="Times New Roman" w:eastAsia="方正仿宋简体" w:cs="Times New Roman"/>
          <w:color w:val="auto"/>
          <w:sz w:val="32"/>
          <w:szCs w:val="32"/>
          <w:highlight w:val="none"/>
          <w:shd w:val="clear" w:color="auto" w:fill="FFFFFF"/>
        </w:rPr>
        <w:t>2.经会计师事务所审计的</w:t>
      </w:r>
      <w:r>
        <w:rPr>
          <w:rFonts w:hint="default" w:ascii="Times New Roman" w:hAnsi="Times New Roman" w:eastAsia="方正仿宋简体" w:cs="Times New Roman"/>
          <w:color w:val="auto"/>
          <w:sz w:val="32"/>
          <w:szCs w:val="32"/>
          <w:highlight w:val="none"/>
          <w:shd w:val="clear" w:color="auto" w:fill="FFFFFF"/>
          <w:lang w:eastAsia="zh-CN"/>
        </w:rPr>
        <w:t>近两年财务</w:t>
      </w:r>
      <w:r>
        <w:rPr>
          <w:rFonts w:hint="default" w:ascii="Times New Roman" w:hAnsi="Times New Roman" w:eastAsia="方正仿宋简体" w:cs="Times New Roman"/>
          <w:color w:val="auto"/>
          <w:sz w:val="32"/>
          <w:szCs w:val="32"/>
          <w:highlight w:val="none"/>
          <w:shd w:val="clear" w:color="auto" w:fill="FFFFFF"/>
        </w:rPr>
        <w:t>审计报告</w:t>
      </w:r>
      <w:r>
        <w:rPr>
          <w:rFonts w:hint="default" w:ascii="Times New Roman" w:hAnsi="Times New Roman" w:eastAsia="方正仿宋简体" w:cs="Times New Roman"/>
          <w:color w:val="auto"/>
          <w:sz w:val="32"/>
          <w:szCs w:val="32"/>
          <w:highlight w:val="none"/>
          <w:shd w:val="clear" w:color="auto" w:fill="FFFFFF"/>
          <w:lang w:eastAsia="zh-CN"/>
        </w:rPr>
        <w:t>（需包含主营业务收入、研发投入等的相关情况）</w:t>
      </w:r>
      <w:r>
        <w:rPr>
          <w:rFonts w:hint="default" w:ascii="Times New Roman" w:hAnsi="Times New Roman" w:eastAsia="方正仿宋简体" w:cs="Times New Roman"/>
          <w:color w:val="auto"/>
          <w:sz w:val="32"/>
          <w:szCs w:val="32"/>
          <w:highlight w:val="none"/>
          <w:shd w:val="clear" w:color="auto" w:fill="FFFFFF"/>
        </w:rPr>
        <w:t>。</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lang w:val="en-US" w:eastAsia="zh-CN"/>
        </w:rPr>
      </w:pPr>
      <w:r>
        <w:rPr>
          <w:rFonts w:hint="default" w:ascii="Times New Roman" w:hAnsi="Times New Roman" w:eastAsia="方正仿宋简体" w:cs="Times New Roman"/>
          <w:color w:val="auto"/>
          <w:sz w:val="32"/>
          <w:szCs w:val="32"/>
          <w:highlight w:val="none"/>
          <w:shd w:val="clear" w:color="auto" w:fill="FFFFFF"/>
          <w:lang w:val="en-US" w:eastAsia="zh-CN"/>
        </w:rPr>
        <w:t>3</w:t>
      </w:r>
      <w:r>
        <w:rPr>
          <w:rFonts w:hint="default" w:ascii="Times New Roman" w:hAnsi="Times New Roman" w:eastAsia="方正仿宋简体" w:cs="Times New Roman"/>
          <w:b w:val="0"/>
          <w:bCs w:val="0"/>
          <w:color w:val="auto"/>
          <w:sz w:val="32"/>
          <w:szCs w:val="32"/>
          <w:highlight w:val="none"/>
          <w:lang w:eastAsia="zh-CN"/>
        </w:rPr>
        <w:t>.</w:t>
      </w:r>
      <w:r>
        <w:rPr>
          <w:rFonts w:hint="default" w:ascii="Times New Roman" w:hAnsi="Times New Roman" w:eastAsia="方正仿宋简体" w:cs="Times New Roman"/>
          <w:color w:val="auto"/>
          <w:sz w:val="32"/>
          <w:szCs w:val="32"/>
          <w:highlight w:val="none"/>
          <w:shd w:val="clear" w:color="auto" w:fill="FFFFFF"/>
          <w:lang w:val="en-US" w:eastAsia="zh-CN"/>
        </w:rPr>
        <w:t>近两年12月底缴纳社保人数证明。</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4</w:t>
      </w:r>
      <w:r>
        <w:rPr>
          <w:rFonts w:hint="default" w:ascii="Times New Roman" w:hAnsi="Times New Roman" w:eastAsia="方正仿宋简体" w:cs="Times New Roman"/>
          <w:b w:val="0"/>
          <w:bCs w:val="0"/>
          <w:color w:val="auto"/>
          <w:sz w:val="32"/>
          <w:szCs w:val="32"/>
          <w:highlight w:val="none"/>
          <w:lang w:eastAsia="zh-CN"/>
        </w:rPr>
        <w:t>.</w:t>
      </w:r>
      <w:r>
        <w:rPr>
          <w:rFonts w:hint="default" w:ascii="Times New Roman" w:hAnsi="Times New Roman" w:eastAsia="方正仿宋简体" w:cs="Times New Roman"/>
          <w:b w:val="0"/>
          <w:bCs w:val="0"/>
          <w:color w:val="auto"/>
          <w:spacing w:val="0"/>
          <w:w w:val="100"/>
          <w:kern w:val="0"/>
          <w:sz w:val="32"/>
          <w:szCs w:val="32"/>
          <w:highlight w:val="none"/>
        </w:rPr>
        <w:t>合规经营承诺</w:t>
      </w:r>
      <w:r>
        <w:rPr>
          <w:rFonts w:hint="default" w:ascii="Times New Roman" w:hAnsi="Times New Roman" w:eastAsia="方正仿宋简体" w:cs="Times New Roman"/>
          <w:b w:val="0"/>
          <w:bCs w:val="0"/>
          <w:color w:val="auto"/>
          <w:spacing w:val="0"/>
          <w:w w:val="100"/>
          <w:kern w:val="0"/>
          <w:sz w:val="32"/>
          <w:szCs w:val="32"/>
          <w:highlight w:val="none"/>
          <w:lang w:eastAsia="zh-CN"/>
        </w:rPr>
        <w:t>书。应涵盖《实施方案》“一、评价认定（一）基本条件”中第</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3条</w:t>
      </w:r>
      <w:r>
        <w:rPr>
          <w:rFonts w:hint="default" w:ascii="Times New Roman" w:hAnsi="Times New Roman" w:eastAsia="方正仿宋简体" w:cs="Times New Roman"/>
          <w:b w:val="0"/>
          <w:bCs w:val="0"/>
          <w:color w:val="auto"/>
          <w:spacing w:val="0"/>
          <w:w w:val="100"/>
          <w:kern w:val="0"/>
          <w:sz w:val="32"/>
          <w:szCs w:val="32"/>
          <w:highlight w:val="none"/>
          <w:lang w:eastAsia="zh-CN"/>
        </w:rPr>
        <w:t>所列内容</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5.申报“直通车”的企业</w:t>
      </w:r>
      <w:r>
        <w:rPr>
          <w:rFonts w:hint="default" w:ascii="Times New Roman" w:hAnsi="Times New Roman" w:eastAsia="方正仿宋简体" w:cs="Times New Roman"/>
          <w:b w:val="0"/>
          <w:bCs w:val="0"/>
          <w:color w:val="auto"/>
          <w:sz w:val="32"/>
          <w:szCs w:val="32"/>
          <w:highlight w:val="none"/>
          <w:lang w:eastAsia="zh-CN"/>
        </w:rPr>
        <w:t>还</w:t>
      </w:r>
      <w:r>
        <w:rPr>
          <w:rFonts w:hint="default" w:ascii="Times New Roman" w:hAnsi="Times New Roman" w:eastAsia="方正仿宋简体" w:cs="Times New Roman"/>
          <w:b w:val="0"/>
          <w:bCs w:val="0"/>
          <w:color w:val="auto"/>
          <w:sz w:val="32"/>
          <w:szCs w:val="32"/>
          <w:highlight w:val="none"/>
          <w:lang w:val="en-US" w:eastAsia="zh-CN"/>
        </w:rPr>
        <w:t>需提供</w:t>
      </w:r>
      <w:r>
        <w:rPr>
          <w:rFonts w:hint="default" w:ascii="Times New Roman" w:hAnsi="Times New Roman" w:eastAsia="方正仿宋简体" w:cs="Times New Roman"/>
          <w:b w:val="0"/>
          <w:bCs w:val="0"/>
          <w:color w:val="auto"/>
          <w:sz w:val="32"/>
          <w:szCs w:val="32"/>
          <w:highlight w:val="none"/>
          <w:lang w:eastAsia="zh-CN"/>
        </w:rPr>
        <w:t>满足“</w:t>
      </w:r>
      <w:r>
        <w:rPr>
          <w:rFonts w:hint="default" w:ascii="Times New Roman" w:hAnsi="Times New Roman" w:eastAsia="方正仿宋简体" w:cs="Times New Roman"/>
          <w:b w:val="0"/>
          <w:bCs w:val="0"/>
          <w:color w:val="auto"/>
          <w:sz w:val="32"/>
          <w:szCs w:val="32"/>
          <w:highlight w:val="none"/>
          <w:lang w:val="en-US" w:eastAsia="zh-CN"/>
        </w:rPr>
        <w:t>直通</w:t>
      </w:r>
      <w:r>
        <w:rPr>
          <w:rFonts w:hint="default" w:ascii="Times New Roman" w:hAnsi="Times New Roman" w:eastAsia="方正仿宋简体" w:cs="Times New Roman"/>
          <w:b w:val="0"/>
          <w:bCs w:val="0"/>
          <w:color w:val="auto"/>
          <w:sz w:val="32"/>
          <w:szCs w:val="32"/>
          <w:highlight w:val="none"/>
          <w:lang w:eastAsia="zh-CN"/>
        </w:rPr>
        <w:t>车”</w:t>
      </w:r>
      <w:r>
        <w:rPr>
          <w:rFonts w:hint="default" w:ascii="Times New Roman" w:hAnsi="Times New Roman" w:eastAsia="方正仿宋简体" w:cs="Times New Roman"/>
          <w:b w:val="0"/>
          <w:bCs w:val="0"/>
          <w:color w:val="auto"/>
          <w:sz w:val="32"/>
          <w:szCs w:val="32"/>
          <w:highlight w:val="none"/>
          <w:lang w:val="en-US" w:eastAsia="zh-CN"/>
        </w:rPr>
        <w:t>条件的</w:t>
      </w:r>
      <w:r>
        <w:rPr>
          <w:rFonts w:hint="default" w:ascii="Times New Roman" w:hAnsi="Times New Roman" w:eastAsia="方正仿宋简体" w:cs="Times New Roman"/>
          <w:b w:val="0"/>
          <w:bCs w:val="0"/>
          <w:color w:val="auto"/>
          <w:sz w:val="32"/>
          <w:szCs w:val="32"/>
          <w:highlight w:val="none"/>
          <w:lang w:eastAsia="zh-CN"/>
        </w:rPr>
        <w:t>相应证明材料</w:t>
      </w:r>
      <w:r>
        <w:rPr>
          <w:rFonts w:hint="default" w:ascii="Times New Roman" w:hAnsi="Times New Roman" w:eastAsia="方正仿宋简体" w:cs="Times New Roman"/>
          <w:b w:val="0"/>
          <w:bCs w:val="0"/>
          <w:color w:val="auto"/>
          <w:sz w:val="32"/>
          <w:szCs w:val="32"/>
          <w:highlight w:val="none"/>
          <w:lang w:val="en-US" w:eastAsia="zh-CN"/>
        </w:rPr>
        <w:t>。</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rPr>
      </w:pPr>
      <w:r>
        <w:rPr>
          <w:rFonts w:hint="default" w:ascii="Times New Roman" w:hAnsi="Times New Roman" w:eastAsia="方正仿宋简体" w:cs="Times New Roman"/>
          <w:color w:val="auto"/>
          <w:sz w:val="32"/>
          <w:szCs w:val="32"/>
          <w:highlight w:val="none"/>
          <w:shd w:val="clear" w:color="auto" w:fill="FFFFFF"/>
          <w:lang w:val="en-US" w:eastAsia="zh-CN"/>
        </w:rPr>
        <w:t>6.</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评价指标</w:t>
      </w:r>
      <w:r>
        <w:rPr>
          <w:rFonts w:hint="default" w:ascii="Times New Roman" w:hAnsi="Times New Roman" w:eastAsia="方正仿宋简体" w:cs="Times New Roman"/>
          <w:b w:val="0"/>
          <w:bCs w:val="0"/>
          <w:color w:val="auto"/>
          <w:spacing w:val="0"/>
          <w:w w:val="100"/>
          <w:kern w:val="0"/>
          <w:sz w:val="32"/>
          <w:szCs w:val="32"/>
          <w:highlight w:val="none"/>
          <w:lang w:eastAsia="zh-CN"/>
        </w:rPr>
        <w:t>相关证明</w:t>
      </w:r>
      <w:r>
        <w:rPr>
          <w:rFonts w:hint="default" w:ascii="Times New Roman" w:hAnsi="Times New Roman" w:eastAsia="方正仿宋简体" w:cs="Times New Roman"/>
          <w:b w:val="0"/>
          <w:bCs w:val="0"/>
          <w:color w:val="auto"/>
          <w:spacing w:val="0"/>
          <w:w w:val="100"/>
          <w:kern w:val="0"/>
          <w:sz w:val="32"/>
          <w:szCs w:val="32"/>
          <w:highlight w:val="none"/>
          <w:lang w:val="en-US" w:eastAsia="zh-CN"/>
        </w:rPr>
        <w:t>材料</w:t>
      </w:r>
      <w:r>
        <w:rPr>
          <w:rFonts w:hint="default" w:ascii="Times New Roman" w:hAnsi="Times New Roman" w:eastAsia="方正仿宋简体" w:cs="Times New Roman"/>
          <w:color w:val="auto"/>
          <w:sz w:val="32"/>
          <w:szCs w:val="32"/>
          <w:highlight w:val="none"/>
          <w:shd w:val="clear" w:color="auto" w:fill="FFFFFF"/>
        </w:rPr>
        <w:t>。</w:t>
      </w:r>
    </w:p>
    <w:p>
      <w:pPr>
        <w:pStyle w:val="6"/>
        <w:overflowPunct w:val="0"/>
        <w:topLinePunct/>
        <w:snapToGrid w:val="0"/>
        <w:spacing w:before="0" w:line="560" w:lineRule="exact"/>
        <w:ind w:left="0" w:firstLine="640" w:firstLineChars="200"/>
        <w:rPr>
          <w:rFonts w:hint="default" w:ascii="Times New Roman" w:hAnsi="Times New Roman" w:eastAsia="方正仿宋简体" w:cs="Times New Roman"/>
          <w:sz w:val="32"/>
          <w:szCs w:val="32"/>
          <w:lang w:eastAsia="zh-CN"/>
        </w:rPr>
      </w:pPr>
    </w:p>
    <w:p>
      <w:pPr>
        <w:pStyle w:val="6"/>
        <w:overflowPunct w:val="0"/>
        <w:topLinePunct/>
        <w:snapToGrid w:val="0"/>
        <w:spacing w:before="0" w:line="560" w:lineRule="exact"/>
        <w:ind w:left="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注：</w:t>
      </w:r>
      <w:r>
        <w:rPr>
          <w:rFonts w:hint="default" w:ascii="Times New Roman" w:hAnsi="Times New Roman" w:eastAsia="方正仿宋简体" w:cs="Times New Roman"/>
          <w:sz w:val="32"/>
          <w:szCs w:val="32"/>
          <w:lang w:val="en-US" w:eastAsia="zh-CN"/>
        </w:rPr>
        <w:t>1.佐证材料按顺序编号后打包上传系统。</w:t>
      </w:r>
    </w:p>
    <w:p>
      <w:pPr>
        <w:pStyle w:val="6"/>
        <w:numPr>
          <w:ilvl w:val="0"/>
          <w:numId w:val="0"/>
        </w:numPr>
        <w:overflowPunct w:val="0"/>
        <w:topLinePunct/>
        <w:snapToGrid w:val="0"/>
        <w:spacing w:before="0" w:line="560" w:lineRule="exact"/>
        <w:ind w:left="64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合规经营承诺书</w:t>
      </w:r>
      <w:r>
        <w:rPr>
          <w:rFonts w:hint="default" w:ascii="Times New Roman" w:hAnsi="Times New Roman" w:eastAsia="方正仿宋简体" w:cs="Times New Roman"/>
          <w:sz w:val="32"/>
          <w:szCs w:val="32"/>
          <w:lang w:val="en-US" w:eastAsia="zh-CN"/>
        </w:rPr>
        <w:t>》参考模板（附后）。</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p>
      <w:pPr>
        <w:overflowPunct w:val="0"/>
        <w:topLinePunct/>
        <w:adjustRightInd w:val="0"/>
        <w:snapToGrid w:val="0"/>
        <w:spacing w:before="624" w:beforeLines="200" w:line="660" w:lineRule="exact"/>
        <w:jc w:val="center"/>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合规经营承诺书</w:t>
      </w:r>
    </w:p>
    <w:p>
      <w:pPr>
        <w:overflowPunct w:val="0"/>
        <w:topLinePunct/>
        <w:adjustRightInd w:val="0"/>
        <w:snapToGrid w:val="0"/>
        <w:spacing w:line="660" w:lineRule="exact"/>
        <w:jc w:val="center"/>
        <w:rPr>
          <w:rFonts w:hint="default" w:ascii="Times New Roman" w:hAnsi="Times New Roman" w:eastAsia="楷体_GB2312" w:cs="Times New Roman"/>
          <w:snapToGrid w:val="0"/>
          <w:kern w:val="0"/>
          <w:sz w:val="32"/>
          <w:szCs w:val="32"/>
        </w:rPr>
      </w:pPr>
    </w:p>
    <w:p>
      <w:pPr>
        <w:pStyle w:val="9"/>
        <w:overflowPunct w:val="0"/>
        <w:topLinePunct/>
        <w:adjustRightInd w:val="0"/>
        <w:snapToGrid w:val="0"/>
        <w:spacing w:before="0" w:beforeAutospacing="0" w:after="0" w:afterAutospacing="0" w:line="660" w:lineRule="exact"/>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成都市经济和信息化局：</w:t>
      </w:r>
    </w:p>
    <w:p>
      <w:pPr>
        <w:pStyle w:val="9"/>
        <w:overflowPunct w:val="0"/>
        <w:topLinePunct/>
        <w:adjustRightInd w:val="0"/>
        <w:snapToGrid w:val="0"/>
        <w:spacing w:before="0" w:beforeAutospacing="0" w:after="0" w:afterAutospacing="0" w:line="660" w:lineRule="exact"/>
        <w:ind w:firstLine="640" w:firstLineChars="200"/>
        <w:jc w:val="both"/>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eastAsia="zh-CN"/>
        </w:rPr>
        <w:t>我公司</w:t>
      </w:r>
      <w:r>
        <w:rPr>
          <w:rFonts w:hint="default" w:ascii="Times New Roman" w:hAnsi="Times New Roman" w:eastAsia="方正仿宋简体" w:cs="Times New Roman"/>
          <w:sz w:val="32"/>
          <w:szCs w:val="32"/>
          <w:shd w:val="clear" w:color="auto" w:fill="FFFFFF"/>
        </w:rPr>
        <w:t>郑重承诺</w:t>
      </w:r>
      <w:r>
        <w:rPr>
          <w:rFonts w:hint="default" w:ascii="Times New Roman" w:hAnsi="Times New Roman" w:eastAsia="方正仿宋简体" w:cs="Times New Roman"/>
          <w:sz w:val="32"/>
          <w:szCs w:val="32"/>
          <w:shd w:val="clear" w:color="auto" w:fill="FFFFFF"/>
          <w:lang w:eastAsia="zh-CN"/>
        </w:rPr>
        <w:t>申报专精特新</w:t>
      </w:r>
      <w:r>
        <w:rPr>
          <w:rFonts w:hint="default" w:ascii="Times New Roman" w:hAnsi="Times New Roman" w:eastAsia="方正仿宋简体" w:cs="Times New Roman"/>
          <w:sz w:val="32"/>
          <w:szCs w:val="32"/>
          <w:shd w:val="clear" w:color="auto" w:fill="FFFFFF"/>
        </w:rPr>
        <w:t>中小企业提交的全部资料真实有效，企业未被列入经营异常名录或严重失信主体名单，提供的产品（服务）不属于国家禁止、限制或淘汰类，同时近三年未发生重大安全（含网络安全、数据安全）、质量、环境污染等事故以及偷漏税等违法违规行为。</w:t>
      </w:r>
    </w:p>
    <w:p>
      <w:pPr>
        <w:pStyle w:val="9"/>
        <w:overflowPunct w:val="0"/>
        <w:topLinePunct/>
        <w:adjustRightInd w:val="0"/>
        <w:snapToGrid w:val="0"/>
        <w:spacing w:before="0" w:beforeAutospacing="0" w:after="0" w:afterAutospacing="0" w:line="560" w:lineRule="exact"/>
        <w:jc w:val="both"/>
        <w:rPr>
          <w:rFonts w:hint="default" w:ascii="Times New Roman" w:hAnsi="Times New Roman" w:eastAsia="方正仿宋简体" w:cs="Times New Roman"/>
          <w:sz w:val="32"/>
          <w:szCs w:val="32"/>
        </w:rPr>
      </w:pPr>
    </w:p>
    <w:p>
      <w:pPr>
        <w:pStyle w:val="9"/>
        <w:overflowPunct w:val="0"/>
        <w:topLinePunct/>
        <w:adjustRightInd w:val="0"/>
        <w:snapToGrid w:val="0"/>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p>
    <w:p>
      <w:pPr>
        <w:pStyle w:val="9"/>
        <w:overflowPunct w:val="0"/>
        <w:topLinePunct/>
        <w:adjustRightInd w:val="0"/>
        <w:snapToGrid w:val="0"/>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p>
    <w:p>
      <w:pPr>
        <w:pStyle w:val="9"/>
        <w:overflowPunct w:val="0"/>
        <w:topLinePunct/>
        <w:adjustRightInd w:val="0"/>
        <w:snapToGrid w:val="0"/>
        <w:spacing w:before="0" w:beforeAutospacing="0" w:after="0" w:afterAutospacing="0" w:line="560" w:lineRule="exact"/>
        <w:ind w:firstLine="640" w:firstLineChars="200"/>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单位：</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（盖章）</w:t>
      </w:r>
    </w:p>
    <w:p>
      <w:pPr>
        <w:pStyle w:val="9"/>
        <w:overflowPunct w:val="0"/>
        <w:topLinePunct/>
        <w:adjustRightInd w:val="0"/>
        <w:snapToGrid w:val="0"/>
        <w:spacing w:before="156" w:beforeLines="50" w:beforeAutospacing="0" w:after="0" w:afterAutospacing="0" w:line="560" w:lineRule="exact"/>
        <w:ind w:firstLine="640" w:firstLineChars="200"/>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法定代表人：（签字或签章）</w:t>
      </w:r>
    </w:p>
    <w:p>
      <w:pPr>
        <w:pStyle w:val="9"/>
        <w:overflowPunct w:val="0"/>
        <w:topLinePunct/>
        <w:adjustRightInd w:val="0"/>
        <w:snapToGrid w:val="0"/>
        <w:spacing w:before="312" w:beforeLines="100" w:beforeAutospacing="0" w:after="0" w:afterAutospacing="0" w:line="560" w:lineRule="exact"/>
        <w:ind w:right="641" w:firstLine="480" w:firstLineChars="200"/>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rPr>
        <w:t xml:space="preserve">                           </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日</w:t>
      </w:r>
    </w:p>
    <w:p>
      <w:pPr>
        <w:overflowPunct w:val="0"/>
        <w:topLinePunct/>
        <w:snapToGrid w:val="0"/>
        <w:spacing w:line="580" w:lineRule="exact"/>
        <w:rPr>
          <w:rFonts w:hint="default" w:ascii="Times New Roman" w:hAnsi="Times New Roman" w:eastAsia="方正仿宋简体" w:cs="Times New Roman"/>
          <w:sz w:val="32"/>
          <w:szCs w:val="32"/>
        </w:rPr>
        <w:sectPr>
          <w:pgSz w:w="11910" w:h="16840"/>
          <w:pgMar w:top="1580" w:right="1320" w:bottom="1500" w:left="1480" w:header="0" w:footer="1306" w:gutter="0"/>
          <w:cols w:space="720" w:num="1"/>
        </w:sectPr>
      </w:pP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jc w:val="both"/>
        <w:textAlignment w:val="auto"/>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rPr>
        <w:t>附</w:t>
      </w:r>
      <w:r>
        <w:rPr>
          <w:rFonts w:hint="default" w:ascii="Times New Roman" w:hAnsi="Times New Roman" w:eastAsia="黑体" w:cs="Times New Roman"/>
          <w:color w:val="auto"/>
          <w:sz w:val="32"/>
          <w:szCs w:val="32"/>
          <w:highlight w:val="none"/>
          <w:shd w:val="clear" w:color="auto" w:fill="FFFFFF"/>
          <w:lang w:eastAsia="zh-CN"/>
        </w:rPr>
        <w:t>件</w:t>
      </w:r>
      <w:r>
        <w:rPr>
          <w:rFonts w:hint="default" w:ascii="Times New Roman" w:hAnsi="Times New Roman" w:eastAsia="黑体" w:cs="Times New Roman"/>
          <w:color w:val="auto"/>
          <w:sz w:val="32"/>
          <w:szCs w:val="32"/>
          <w:highlight w:val="none"/>
          <w:shd w:val="clear" w:color="auto" w:fill="FFFFFF"/>
          <w:lang w:val="en-US" w:eastAsia="zh-CN"/>
        </w:rPr>
        <w:t>3</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eastAsia="zh-CN"/>
        </w:rPr>
      </w:pPr>
      <w:r>
        <w:rPr>
          <w:rFonts w:hint="default" w:ascii="Times New Roman" w:hAnsi="Times New Roman" w:eastAsia="方正小标宋简体" w:cs="Times New Roman"/>
          <w:color w:val="auto"/>
          <w:sz w:val="44"/>
          <w:szCs w:val="44"/>
          <w:highlight w:val="none"/>
          <w:shd w:val="clear" w:color="auto" w:fill="FFFFFF"/>
          <w:lang w:eastAsia="zh-CN"/>
        </w:rPr>
        <w:t xml:space="preserve">  </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eastAsia="zh-CN"/>
        </w:rPr>
      </w:pPr>
      <w:r>
        <w:rPr>
          <w:rFonts w:hint="default" w:ascii="Times New Roman" w:hAnsi="Times New Roman" w:eastAsia="方正小标宋简体" w:cs="Times New Roman"/>
          <w:color w:val="auto"/>
          <w:sz w:val="44"/>
          <w:szCs w:val="44"/>
          <w:highlight w:val="none"/>
          <w:shd w:val="clear" w:color="auto" w:fill="FFFFFF"/>
          <w:lang w:eastAsia="zh-CN"/>
        </w:rPr>
        <w:t>专精特新中小企业推荐汇总表</w:t>
      </w: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jc w:val="left"/>
        <w:textAlignment w:val="auto"/>
        <w:rPr>
          <w:rFonts w:hint="default" w:ascii="Times New Roman" w:hAnsi="Times New Roman" w:eastAsia="仿宋_GB2312" w:cs="Times New Roman"/>
          <w:color w:val="auto"/>
          <w:sz w:val="24"/>
          <w:szCs w:val="24"/>
          <w:highlight w:val="none"/>
          <w:u w:val="single"/>
          <w:shd w:val="clear" w:color="auto" w:fill="FFFFFF"/>
          <w:lang w:eastAsia="zh-CN"/>
        </w:rPr>
      </w:pPr>
    </w:p>
    <w:p>
      <w:pPr>
        <w:pStyle w:val="9"/>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jc w:val="left"/>
        <w:rPr>
          <w:rFonts w:hint="default" w:ascii="Times New Roman" w:hAnsi="Times New Roman" w:eastAsia="方正小标宋简体" w:cs="Times New Roman"/>
          <w:color w:val="auto"/>
          <w:sz w:val="24"/>
          <w:szCs w:val="24"/>
          <w:highlight w:val="none"/>
          <w:shd w:val="clear" w:color="auto" w:fill="FFFFFF"/>
          <w:lang w:val="en-US"/>
        </w:rPr>
      </w:pPr>
      <w:r>
        <w:rPr>
          <w:rFonts w:hint="eastAsia" w:ascii="Times New Roman" w:hAnsi="Times New Roman" w:eastAsia="仿宋_GB2312" w:cs="Times New Roman"/>
          <w:color w:val="auto"/>
          <w:sz w:val="24"/>
          <w:szCs w:val="24"/>
          <w:highlight w:val="none"/>
          <w:shd w:val="clear" w:color="auto" w:fill="FFFFFF"/>
          <w:lang w:eastAsia="zh-CN"/>
        </w:rPr>
        <w:t>区（市）县中小企业主管部门：（盖章）</w:t>
      </w:r>
      <w:r>
        <w:rPr>
          <w:rFonts w:hint="default" w:ascii="Times New Roman" w:hAnsi="Times New Roman" w:eastAsia="仿宋_GB2312" w:cs="Times New Roman"/>
          <w:color w:val="auto"/>
          <w:sz w:val="24"/>
          <w:szCs w:val="24"/>
          <w:highlight w:val="none"/>
          <w:shd w:val="clear" w:color="auto" w:fill="FFFFFF"/>
          <w:lang w:val="en-US" w:eastAsia="zh-CN"/>
        </w:rPr>
        <w:t xml:space="preserve">                                                                 批次： 20   年度</w:t>
      </w:r>
    </w:p>
    <w:tbl>
      <w:tblPr>
        <w:tblStyle w:val="11"/>
        <w:tblW w:w="13994" w:type="dxa"/>
        <w:jc w:val="center"/>
        <w:tblInd w:w="0" w:type="dxa"/>
        <w:tblLayout w:type="fixed"/>
        <w:tblCellMar>
          <w:top w:w="0" w:type="dxa"/>
          <w:left w:w="108" w:type="dxa"/>
          <w:bottom w:w="0" w:type="dxa"/>
          <w:right w:w="108" w:type="dxa"/>
        </w:tblCellMar>
      </w:tblPr>
      <w:tblGrid>
        <w:gridCol w:w="813"/>
        <w:gridCol w:w="2597"/>
        <w:gridCol w:w="1142"/>
        <w:gridCol w:w="1534"/>
        <w:gridCol w:w="1943"/>
        <w:gridCol w:w="5043"/>
        <w:gridCol w:w="922"/>
      </w:tblGrid>
      <w:tr>
        <w:tblPrEx>
          <w:tblLayout w:type="fixed"/>
          <w:tblCellMar>
            <w:top w:w="0" w:type="dxa"/>
            <w:left w:w="108" w:type="dxa"/>
            <w:bottom w:w="0" w:type="dxa"/>
            <w:right w:w="108" w:type="dxa"/>
          </w:tblCellMar>
        </w:tblPrEx>
        <w:trPr>
          <w:trHeight w:val="1095" w:hRule="atLeast"/>
          <w:jc w:val="center"/>
        </w:trPr>
        <w:tc>
          <w:tcPr>
            <w:tcW w:w="81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序号</w:t>
            </w:r>
          </w:p>
        </w:tc>
        <w:tc>
          <w:tcPr>
            <w:tcW w:w="2597"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color w:val="auto"/>
                <w:kern w:val="0"/>
                <w:sz w:val="21"/>
                <w:szCs w:val="21"/>
                <w:highlight w:val="none"/>
              </w:rPr>
            </w:pPr>
            <w:r>
              <w:rPr>
                <w:rFonts w:hint="default" w:ascii="Times New Roman" w:hAnsi="Times New Roman" w:eastAsia="黑体" w:cs="Times New Roman"/>
                <w:bCs/>
                <w:color w:val="auto"/>
                <w:kern w:val="0"/>
                <w:sz w:val="21"/>
                <w:szCs w:val="21"/>
                <w:highlight w:val="none"/>
              </w:rPr>
              <w:t>企业名称</w:t>
            </w:r>
          </w:p>
        </w:tc>
        <w:tc>
          <w:tcPr>
            <w:tcW w:w="1142"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lang w:eastAsia="zh-CN"/>
              </w:rPr>
              <w:t>申报类型</w:t>
            </w:r>
          </w:p>
        </w:tc>
        <w:tc>
          <w:tcPr>
            <w:tcW w:w="1534"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rPr>
              <w:t>原认定</w:t>
            </w:r>
            <w:r>
              <w:rPr>
                <w:rFonts w:hint="default" w:ascii="Times New Roman" w:hAnsi="Times New Roman" w:eastAsia="黑体" w:cs="Times New Roman"/>
                <w:bCs/>
                <w:color w:val="auto"/>
                <w:kern w:val="0"/>
                <w:sz w:val="21"/>
                <w:szCs w:val="21"/>
                <w:highlight w:val="none"/>
                <w:lang w:eastAsia="zh-CN"/>
              </w:rPr>
              <w:t>批次</w:t>
            </w:r>
          </w:p>
        </w:tc>
        <w:tc>
          <w:tcPr>
            <w:tcW w:w="194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统一社会信用代码</w:t>
            </w:r>
          </w:p>
        </w:tc>
        <w:tc>
          <w:tcPr>
            <w:tcW w:w="504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rPr>
              <w:t>企业</w:t>
            </w:r>
            <w:r>
              <w:rPr>
                <w:rFonts w:hint="default" w:ascii="Times New Roman" w:hAnsi="Times New Roman" w:eastAsia="黑体" w:cs="Times New Roman"/>
                <w:bCs/>
                <w:color w:val="auto"/>
                <w:kern w:val="0"/>
                <w:sz w:val="21"/>
                <w:szCs w:val="21"/>
                <w:highlight w:val="none"/>
                <w:lang w:eastAsia="zh-CN"/>
              </w:rPr>
              <w:t>专精特新发展情况</w:t>
            </w:r>
            <w:r>
              <w:rPr>
                <w:rFonts w:hint="default" w:ascii="Times New Roman" w:hAnsi="Times New Roman" w:eastAsia="黑体" w:cs="Times New Roman"/>
                <w:bCs/>
                <w:color w:val="auto"/>
                <w:kern w:val="0"/>
                <w:sz w:val="21"/>
                <w:szCs w:val="21"/>
                <w:highlight w:val="none"/>
              </w:rPr>
              <w:t>说明（不超过</w:t>
            </w:r>
            <w:r>
              <w:rPr>
                <w:rFonts w:hint="default" w:ascii="Times New Roman" w:hAnsi="Times New Roman" w:eastAsia="黑体" w:cs="Times New Roman"/>
                <w:bCs/>
                <w:color w:val="auto"/>
                <w:kern w:val="0"/>
                <w:sz w:val="21"/>
                <w:szCs w:val="21"/>
                <w:highlight w:val="none"/>
                <w:lang w:val="en-US" w:eastAsia="zh-CN"/>
              </w:rPr>
              <w:t>10</w:t>
            </w:r>
            <w:r>
              <w:rPr>
                <w:rFonts w:hint="default" w:ascii="Times New Roman" w:hAnsi="Times New Roman" w:eastAsia="黑体" w:cs="Times New Roman"/>
                <w:bCs/>
                <w:color w:val="auto"/>
                <w:kern w:val="0"/>
                <w:sz w:val="21"/>
                <w:szCs w:val="21"/>
                <w:highlight w:val="none"/>
              </w:rPr>
              <w:t>0字</w:t>
            </w:r>
            <w:r>
              <w:rPr>
                <w:rFonts w:hint="default" w:ascii="Times New Roman" w:hAnsi="Times New Roman" w:eastAsia="黑体" w:cs="Times New Roman"/>
                <w:bCs/>
                <w:color w:val="auto"/>
                <w:kern w:val="0"/>
                <w:sz w:val="21"/>
                <w:szCs w:val="21"/>
                <w:highlight w:val="none"/>
                <w:lang w:eastAsia="zh-CN"/>
              </w:rPr>
              <w:t>）</w:t>
            </w: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lang w:eastAsia="zh-CN"/>
              </w:rPr>
              <w:t>“直通车”</w:t>
            </w:r>
            <w:r>
              <w:rPr>
                <w:rFonts w:hint="default" w:ascii="Times New Roman" w:hAnsi="Times New Roman" w:eastAsia="黑体" w:cs="Times New Roman"/>
                <w:bCs/>
                <w:color w:val="auto"/>
                <w:kern w:val="0"/>
                <w:sz w:val="21"/>
                <w:szCs w:val="21"/>
                <w:highlight w:val="none"/>
                <w:lang w:val="en-US" w:eastAsia="zh-CN"/>
              </w:rPr>
              <w:t>条件</w:t>
            </w:r>
          </w:p>
        </w:tc>
      </w:tr>
      <w:tr>
        <w:tblPrEx>
          <w:tblLayout w:type="fixed"/>
          <w:tblCellMar>
            <w:top w:w="0" w:type="dxa"/>
            <w:left w:w="108" w:type="dxa"/>
            <w:bottom w:w="0" w:type="dxa"/>
            <w:right w:w="108" w:type="dxa"/>
          </w:tblCellMar>
        </w:tblPrEx>
        <w:trPr>
          <w:trHeight w:val="65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Layout w:type="fixed"/>
          <w:tblCellMar>
            <w:top w:w="0" w:type="dxa"/>
            <w:left w:w="108" w:type="dxa"/>
            <w:bottom w:w="0" w:type="dxa"/>
            <w:right w:w="108" w:type="dxa"/>
          </w:tblCellMar>
        </w:tblPrEx>
        <w:trPr>
          <w:trHeight w:val="65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Layout w:type="fixed"/>
          <w:tblCellMar>
            <w:top w:w="0" w:type="dxa"/>
            <w:left w:w="108" w:type="dxa"/>
            <w:bottom w:w="0" w:type="dxa"/>
            <w:right w:w="108" w:type="dxa"/>
          </w:tblCellMar>
        </w:tblPrEx>
        <w:trPr>
          <w:trHeight w:val="67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bl>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备注：1.“申报类型”选填“新认定”“复核”；“原认定批次”仅复核企业填写，选填“20xx年度”。</w:t>
      </w: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720" w:firstLineChars="3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2.“直通车条件”是指“专精特新中小企业认定标准”中“认定条件”“4.评价得分达到60分以上或满足下列条件之一”所列“（1）”“（2）”“（3）”“（4）”，据实填写编号即可。</w:t>
      </w:r>
    </w:p>
    <w:p>
      <w:pPr>
        <w:pStyle w:val="2"/>
        <w:rPr>
          <w:rFonts w:hint="default"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left"/>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4</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jc w:val="both"/>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highlight w:val="none"/>
          <w:lang w:eastAsia="zh-CN"/>
        </w:rPr>
      </w:pPr>
      <w:r>
        <w:rPr>
          <w:rFonts w:hint="default" w:ascii="Times New Roman" w:hAnsi="Times New Roman" w:cs="Times New Roman"/>
          <w:b w:val="0"/>
          <w:bCs w:val="0"/>
          <w:color w:val="auto"/>
          <w:spacing w:val="0"/>
          <w:w w:val="100"/>
          <w:kern w:val="0"/>
          <w:sz w:val="44"/>
          <w:szCs w:val="44"/>
          <w:highlight w:val="none"/>
          <w:lang w:eastAsia="zh-CN"/>
        </w:rPr>
        <w:t>部分指标和要求说明</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一</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二</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所称拥有自主品牌是指主营业务产品或服务具有自主知识产权，且符合下列条件之一：</w:t>
      </w:r>
    </w:p>
    <w:p>
      <w:pPr>
        <w:pStyle w:val="12"/>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1.</w:t>
      </w:r>
      <w:r>
        <w:rPr>
          <w:rFonts w:hint="default" w:ascii="Times New Roman" w:hAnsi="Times New Roman" w:eastAsia="方正仿宋简体" w:cs="Times New Roman"/>
          <w:b w:val="0"/>
          <w:bCs w:val="0"/>
          <w:color w:val="auto"/>
          <w:spacing w:val="0"/>
          <w:w w:val="100"/>
          <w:kern w:val="0"/>
          <w:sz w:val="32"/>
          <w:highlight w:val="none"/>
        </w:rPr>
        <w:t>产品或服务品牌已经国家知识产权局商标局正式注册。</w:t>
      </w:r>
    </w:p>
    <w:p>
      <w:pPr>
        <w:pStyle w:val="12"/>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eastAsia="方正仿宋简体" w:cs="Times New Roman"/>
          <w:b w:val="0"/>
          <w:bCs w:val="0"/>
          <w:color w:val="auto"/>
          <w:spacing w:val="0"/>
          <w:w w:val="100"/>
          <w:kern w:val="0"/>
          <w:sz w:val="32"/>
          <w:highlight w:val="none"/>
        </w:rPr>
      </w:pPr>
      <w:r>
        <w:rPr>
          <w:rFonts w:hint="default" w:ascii="Times New Roman" w:hAnsi="Times New Roman" w:eastAsia="方正仿宋简体" w:cs="Times New Roman"/>
          <w:b w:val="0"/>
          <w:bCs w:val="0"/>
          <w:color w:val="auto"/>
          <w:spacing w:val="0"/>
          <w:w w:val="100"/>
          <w:kern w:val="0"/>
          <w:sz w:val="32"/>
          <w:highlight w:val="none"/>
          <w:lang w:val="en-US" w:eastAsia="zh-CN"/>
        </w:rPr>
        <w:t>2.</w:t>
      </w:r>
      <w:r>
        <w:rPr>
          <w:rFonts w:hint="default" w:ascii="Times New Roman" w:hAnsi="Times New Roman" w:eastAsia="方正仿宋简体" w:cs="Times New Roman"/>
          <w:b w:val="0"/>
          <w:bCs w:val="0"/>
          <w:color w:val="auto"/>
          <w:spacing w:val="0"/>
          <w:w w:val="100"/>
          <w:kern w:val="0"/>
          <w:sz w:val="32"/>
          <w:highlight w:val="none"/>
        </w:rPr>
        <w:t>产品或服务已经实现收入。</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三</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Ⅰ类知识产权</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包括发明专利（含国防专利）、植物新品种、国家级农作物品种、国家新药、国家一级中药保护品种、集成电路布图设计专有权（均不包含转让未满1年的知识产权）。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四</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Ⅰ类高价值知识产权</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须符合以下条件之一：</w:t>
      </w:r>
    </w:p>
    <w:p>
      <w:pPr>
        <w:pStyle w:val="12"/>
        <w:keepNext w:val="0"/>
        <w:keepLines w:val="0"/>
        <w:pageBreakBefore w:val="0"/>
        <w:widowControl w:val="0"/>
        <w:numPr>
          <w:ilvl w:val="0"/>
          <w:numId w:val="0"/>
        </w:numPr>
        <w:tabs>
          <w:tab w:val="left" w:pos="995"/>
        </w:tabs>
        <w:kinsoku/>
        <w:wordWrap/>
        <w:overflowPunct w:val="0"/>
        <w:topLinePunct/>
        <w:autoSpaceDE/>
        <w:autoSpaceDN/>
        <w:bidi w:val="0"/>
        <w:adjustRightInd w:val="0"/>
        <w:snapToGrid w:val="0"/>
        <w:spacing w:before="0" w:after="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szCs w:val="32"/>
          <w:highlight w:val="none"/>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1.</w:t>
      </w:r>
      <w:r>
        <w:rPr>
          <w:rFonts w:hint="default" w:ascii="Times New Roman" w:hAnsi="Times New Roman" w:eastAsia="方正仿宋简体" w:cs="Times New Roman"/>
          <w:b w:val="0"/>
          <w:bCs w:val="0"/>
          <w:color w:val="auto"/>
          <w:spacing w:val="0"/>
          <w:w w:val="100"/>
          <w:kern w:val="0"/>
          <w:sz w:val="32"/>
          <w:szCs w:val="32"/>
          <w:highlight w:val="none"/>
        </w:rPr>
        <w:t>在海外有同族专利权的发明专利或在海外取得收入的其他Ⅰ类知识产权，其中专利限G20成员、新加坡以及欧洲专利局经实质审查后获得授权的发明专利。</w:t>
      </w:r>
    </w:p>
    <w:p>
      <w:pPr>
        <w:pStyle w:val="12"/>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spacing w:val="0"/>
          <w:w w:val="100"/>
          <w:kern w:val="0"/>
          <w:sz w:val="32"/>
          <w:szCs w:val="32"/>
          <w:highlight w:val="none"/>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2.</w:t>
      </w:r>
      <w:r>
        <w:rPr>
          <w:rFonts w:hint="default" w:ascii="Times New Roman" w:hAnsi="Times New Roman" w:eastAsia="方正仿宋简体" w:cs="Times New Roman"/>
          <w:b w:val="0"/>
          <w:bCs w:val="0"/>
          <w:color w:val="auto"/>
          <w:spacing w:val="0"/>
          <w:w w:val="100"/>
          <w:kern w:val="0"/>
          <w:sz w:val="32"/>
          <w:szCs w:val="32"/>
          <w:highlight w:val="none"/>
        </w:rPr>
        <w:t>维持年限超过10年的Ⅰ类知识产权。</w:t>
      </w:r>
    </w:p>
    <w:p>
      <w:pPr>
        <w:pStyle w:val="12"/>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eastAsia="方正仿宋简体" w:cs="Times New Roman"/>
          <w:b w:val="0"/>
          <w:bCs w:val="0"/>
          <w:color w:val="auto"/>
          <w:spacing w:val="0"/>
          <w:w w:val="100"/>
          <w:kern w:val="0"/>
          <w:sz w:val="32"/>
          <w:szCs w:val="32"/>
          <w:highlight w:val="none"/>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3.</w:t>
      </w:r>
      <w:r>
        <w:rPr>
          <w:rFonts w:hint="default" w:ascii="Times New Roman" w:hAnsi="Times New Roman" w:eastAsia="方正仿宋简体" w:cs="Times New Roman"/>
          <w:b w:val="0"/>
          <w:bCs w:val="0"/>
          <w:color w:val="auto"/>
          <w:spacing w:val="0"/>
          <w:w w:val="100"/>
          <w:kern w:val="0"/>
          <w:sz w:val="32"/>
          <w:szCs w:val="32"/>
          <w:highlight w:val="none"/>
        </w:rPr>
        <w:t>实现较高质押融资金额的Ⅰ类知识产权。</w:t>
      </w:r>
    </w:p>
    <w:p>
      <w:pPr>
        <w:pStyle w:val="12"/>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eastAsia="方正仿宋简体" w:cs="Times New Roman"/>
          <w:b w:val="0"/>
          <w:bCs w:val="0"/>
          <w:color w:val="auto"/>
          <w:spacing w:val="0"/>
          <w:w w:val="100"/>
          <w:kern w:val="0"/>
          <w:sz w:val="32"/>
          <w:szCs w:val="32"/>
          <w:highlight w:val="none"/>
        </w:rPr>
      </w:pPr>
      <w:r>
        <w:rPr>
          <w:rFonts w:hint="default" w:ascii="Times New Roman" w:hAnsi="Times New Roman" w:eastAsia="方正仿宋简体" w:cs="Times New Roman"/>
          <w:b w:val="0"/>
          <w:bCs w:val="0"/>
          <w:color w:val="auto"/>
          <w:spacing w:val="0"/>
          <w:w w:val="100"/>
          <w:kern w:val="0"/>
          <w:sz w:val="32"/>
          <w:szCs w:val="32"/>
          <w:highlight w:val="none"/>
          <w:lang w:val="en-US" w:eastAsia="zh-CN"/>
        </w:rPr>
        <w:t>4.</w:t>
      </w:r>
      <w:r>
        <w:rPr>
          <w:rFonts w:hint="default" w:ascii="Times New Roman" w:hAnsi="Times New Roman" w:eastAsia="方正仿宋简体" w:cs="Times New Roman"/>
          <w:b w:val="0"/>
          <w:bCs w:val="0"/>
          <w:color w:val="auto"/>
          <w:spacing w:val="0"/>
          <w:w w:val="100"/>
          <w:kern w:val="0"/>
          <w:sz w:val="32"/>
          <w:szCs w:val="32"/>
          <w:highlight w:val="none"/>
        </w:rPr>
        <w:t>获得国家科学技术奖或中国专利奖的Ⅰ类知识产权。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五</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Ⅱ类知识产权</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包括与主导产品相关的软件著作权（不含商标</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授权后维持超过2年的实用新型专利或外观设计专利（均不包含转让未满1年的知识产权）。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六</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企业数字化转型水平</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是指在优质中小企业梯度培育平台完成数字化水平免费自测，具体自测网址、相关标准等事宜，另行明确。</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七</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重大安全（含网络安全、数据安全）、质量、环境污染等事故</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八</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股权融资</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是指公司股东稀释部分公司股权给投资人，以增资扩股（出让股权不超过30%）的方式引进新的股东，从而取得公司融资的方式。</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九</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合格机构投资者</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主导产品</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是指企业核心技术在产品中发挥重要作用，且产品收入之和占企业同期营业收入比重超过50%。</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十一</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主导产品在全国细分市场占有率达10%以上，且享有较高知名度和影响力</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可通过企业自证或其他方式佐证。</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十二</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省级科技奖励</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包括各省、自治区、直辖市科学技术奖的一、二、三等奖；</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国家级科技奖励</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包括国家科学技术进步奖、国家自然科学奖、国家技术发明奖，以及国防科技奖。</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十三</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如无特殊说明，所称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以上</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以下</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，包括本数；所称的</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超过</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，不包括本数。在计算评价指标得分时，如指标值位于两个评分区间边界上，按高分计算得分。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十四</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本办法部分指标计算公式</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近2年主营业务收入平均增长率=（企业上一年度主营业务收入增长率+企业上上年度主营业务收入增长率）/2。</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企业上一年度主营业务收入增长率=（企业上一年度主营业务收入总额-企业上上年度主营业务收入总额）/企业上上年度主营业务收入总额*100%。其他年度主营业务收入增长率计算方法以此类推。</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十五</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被列入经营异常名录</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以国家企业信用信息公示系统（</w:t>
      </w:r>
      <w:r>
        <w:rPr>
          <w:rFonts w:hint="default" w:ascii="Times New Roman" w:hAnsi="Times New Roman" w:eastAsia="方正仿宋简体" w:cs="Times New Roman"/>
          <w:b w:val="0"/>
          <w:bCs w:val="0"/>
          <w:color w:val="auto"/>
          <w:spacing w:val="0"/>
          <w:w w:val="100"/>
          <w:kern w:val="0"/>
          <w:highlight w:val="none"/>
        </w:rPr>
        <w:fldChar w:fldCharType="begin"/>
      </w:r>
      <w:r>
        <w:rPr>
          <w:rFonts w:hint="default" w:ascii="Times New Roman" w:hAnsi="Times New Roman" w:eastAsia="方正仿宋简体" w:cs="Times New Roman"/>
          <w:b w:val="0"/>
          <w:bCs w:val="0"/>
          <w:color w:val="auto"/>
          <w:spacing w:val="0"/>
          <w:w w:val="100"/>
          <w:kern w:val="0"/>
          <w:highlight w:val="none"/>
        </w:rPr>
        <w:instrText xml:space="preserve"> HYPERLINK "http://www.gsxt.gov.cn/" \h </w:instrText>
      </w:r>
      <w:r>
        <w:rPr>
          <w:rFonts w:hint="default" w:ascii="Times New Roman" w:hAnsi="Times New Roman" w:eastAsia="方正仿宋简体" w:cs="Times New Roman"/>
          <w:b w:val="0"/>
          <w:bCs w:val="0"/>
          <w:color w:val="auto"/>
          <w:spacing w:val="0"/>
          <w:w w:val="100"/>
          <w:kern w:val="0"/>
          <w:highlight w:val="none"/>
        </w:rPr>
        <w:fldChar w:fldCharType="separate"/>
      </w:r>
      <w:r>
        <w:rPr>
          <w:rFonts w:hint="default" w:ascii="Times New Roman" w:hAnsi="Times New Roman" w:eastAsia="方正仿宋简体" w:cs="Times New Roman"/>
          <w:b w:val="0"/>
          <w:bCs w:val="0"/>
          <w:color w:val="auto"/>
          <w:spacing w:val="0"/>
          <w:w w:val="100"/>
          <w:kern w:val="0"/>
          <w:highlight w:val="none"/>
        </w:rPr>
        <w:t>http://www.gsxt.gov.cn</w:t>
      </w:r>
      <w:r>
        <w:rPr>
          <w:rFonts w:hint="default" w:ascii="Times New Roman" w:hAnsi="Times New Roman" w:eastAsia="方正仿宋简体" w:cs="Times New Roman"/>
          <w:b w:val="0"/>
          <w:bCs w:val="0"/>
          <w:color w:val="auto"/>
          <w:spacing w:val="0"/>
          <w:w w:val="100"/>
          <w:kern w:val="0"/>
          <w:highlight w:val="none"/>
        </w:rPr>
        <w:fldChar w:fldCharType="end"/>
      </w:r>
      <w:r>
        <w:rPr>
          <w:rFonts w:hint="default" w:ascii="Times New Roman" w:hAnsi="Times New Roman" w:eastAsia="方正仿宋简体" w:cs="Times New Roman"/>
          <w:b w:val="0"/>
          <w:bCs w:val="0"/>
          <w:color w:val="auto"/>
          <w:spacing w:val="0"/>
          <w:w w:val="100"/>
          <w:kern w:val="0"/>
          <w:highlight w:val="none"/>
        </w:rPr>
        <w:t>）查询结果为准；所称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严重失信主体名单</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以信用中国（</w:t>
      </w:r>
      <w:r>
        <w:rPr>
          <w:rFonts w:hint="default" w:ascii="Times New Roman" w:hAnsi="Times New Roman" w:eastAsia="方正仿宋简体" w:cs="Times New Roman"/>
          <w:b w:val="0"/>
          <w:bCs w:val="0"/>
          <w:color w:val="auto"/>
          <w:spacing w:val="0"/>
          <w:w w:val="100"/>
          <w:kern w:val="0"/>
          <w:highlight w:val="none"/>
        </w:rPr>
        <w:fldChar w:fldCharType="begin"/>
      </w:r>
      <w:r>
        <w:rPr>
          <w:rFonts w:hint="default" w:ascii="Times New Roman" w:hAnsi="Times New Roman" w:eastAsia="方正仿宋简体" w:cs="Times New Roman"/>
          <w:b w:val="0"/>
          <w:bCs w:val="0"/>
          <w:color w:val="auto"/>
          <w:spacing w:val="0"/>
          <w:w w:val="100"/>
          <w:kern w:val="0"/>
          <w:highlight w:val="none"/>
        </w:rPr>
        <w:instrText xml:space="preserve"> HYPERLINK "http://www.creditchina.gov.cn/" \h </w:instrText>
      </w:r>
      <w:r>
        <w:rPr>
          <w:rFonts w:hint="default" w:ascii="Times New Roman" w:hAnsi="Times New Roman" w:eastAsia="方正仿宋简体" w:cs="Times New Roman"/>
          <w:b w:val="0"/>
          <w:bCs w:val="0"/>
          <w:color w:val="auto"/>
          <w:spacing w:val="0"/>
          <w:w w:val="100"/>
          <w:kern w:val="0"/>
          <w:highlight w:val="none"/>
        </w:rPr>
        <w:fldChar w:fldCharType="separate"/>
      </w:r>
      <w:r>
        <w:rPr>
          <w:rFonts w:hint="default" w:ascii="Times New Roman" w:hAnsi="Times New Roman" w:eastAsia="方正仿宋简体" w:cs="Times New Roman"/>
          <w:b w:val="0"/>
          <w:bCs w:val="0"/>
          <w:color w:val="auto"/>
          <w:spacing w:val="0"/>
          <w:w w:val="100"/>
          <w:kern w:val="0"/>
          <w:highlight w:val="none"/>
        </w:rPr>
        <w:t>http://www.creditchina.gov.cn</w:t>
      </w:r>
      <w:r>
        <w:rPr>
          <w:rFonts w:hint="default" w:ascii="Times New Roman" w:hAnsi="Times New Roman" w:eastAsia="方正仿宋简体" w:cs="Times New Roman"/>
          <w:b w:val="0"/>
          <w:bCs w:val="0"/>
          <w:color w:val="auto"/>
          <w:spacing w:val="0"/>
          <w:w w:val="100"/>
          <w:kern w:val="0"/>
          <w:highlight w:val="none"/>
        </w:rPr>
        <w:fldChar w:fldCharType="end"/>
      </w:r>
      <w:r>
        <w:rPr>
          <w:rFonts w:hint="default" w:ascii="Times New Roman" w:hAnsi="Times New Roman" w:eastAsia="方正仿宋简体" w:cs="Times New Roman"/>
          <w:b w:val="0"/>
          <w:bCs w:val="0"/>
          <w:color w:val="auto"/>
          <w:spacing w:val="0"/>
          <w:w w:val="100"/>
          <w:kern w:val="0"/>
          <w:highlight w:val="none"/>
        </w:rPr>
        <w:t>） 查询结果为准。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方正仿宋简体" w:cs="Times New Roman"/>
          <w:b w:val="0"/>
          <w:bCs w:val="0"/>
          <w:color w:val="auto"/>
          <w:spacing w:val="0"/>
          <w:w w:val="100"/>
          <w:kern w:val="0"/>
          <w:highlight w:val="none"/>
        </w:rPr>
      </w:pPr>
      <w:r>
        <w:rPr>
          <w:rFonts w:hint="default" w:ascii="Times New Roman" w:hAnsi="Times New Roman" w:eastAsia="方正仿宋简体" w:cs="Times New Roman"/>
          <w:b w:val="0"/>
          <w:bCs w:val="0"/>
          <w:color w:val="auto"/>
          <w:spacing w:val="0"/>
          <w:w w:val="100"/>
          <w:kern w:val="0"/>
          <w:highlight w:val="none"/>
        </w:rPr>
        <w:t>十六</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所称</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创客中国</w:t>
      </w:r>
      <w:r>
        <w:rPr>
          <w:rFonts w:hint="default" w:ascii="Times New Roman" w:hAnsi="Times New Roman" w:eastAsia="方正仿宋简体" w:cs="Times New Roman"/>
          <w:b w:val="0"/>
          <w:bCs w:val="0"/>
          <w:color w:val="auto"/>
          <w:spacing w:val="0"/>
          <w:w w:val="100"/>
          <w:kern w:val="0"/>
          <w:highlight w:val="none"/>
          <w:lang w:eastAsia="zh-CN"/>
        </w:rPr>
        <w:t>”</w:t>
      </w:r>
      <w:r>
        <w:rPr>
          <w:rFonts w:hint="default" w:ascii="Times New Roman" w:hAnsi="Times New Roman" w:eastAsia="方正仿宋简体" w:cs="Times New Roman"/>
          <w:b w:val="0"/>
          <w:bCs w:val="0"/>
          <w:color w:val="auto"/>
          <w:spacing w:val="0"/>
          <w:w w:val="100"/>
          <w:kern w:val="0"/>
          <w:highlight w:val="none"/>
        </w:rPr>
        <w:t>中小企业创新创业大赛全国500强、50强企业组名单是指该大赛2021年以来正式发布的名单。</w:t>
      </w:r>
    </w:p>
    <w:p>
      <w:pPr>
        <w:pStyle w:val="5"/>
        <w:keepNext w:val="0"/>
        <w:keepLines w:val="0"/>
        <w:pageBreakBefore w:val="0"/>
        <w:widowControl w:val="0"/>
        <w:kinsoku/>
        <w:wordWrap/>
        <w:overflowPunct w:val="0"/>
        <w:topLinePunct/>
        <w:autoSpaceDE/>
        <w:autoSpaceDN/>
        <w:bidi w:val="0"/>
        <w:adjustRightInd w:val="0"/>
        <w:snapToGrid w:val="0"/>
        <w:spacing w:line="580" w:lineRule="exact"/>
        <w:ind w:left="0" w:leftChars="0" w:right="0" w:firstLine="420" w:firstLineChars="200"/>
        <w:textAlignment w:val="auto"/>
        <w:rPr>
          <w:rFonts w:hint="default" w:ascii="Times New Roman" w:hAnsi="Times New Roman" w:eastAsia="方正仿宋简体" w:cs="Times New Roman"/>
          <w:b w:val="0"/>
          <w:bCs w:val="0"/>
          <w:color w:val="auto"/>
          <w:spacing w:val="0"/>
          <w:w w:val="100"/>
          <w:kern w:val="0"/>
          <w:highlight w:val="none"/>
          <w:lang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tbl>
      <w:tblPr>
        <w:tblStyle w:val="11"/>
        <w:tblW w:w="9148" w:type="dxa"/>
        <w:jc w:val="center"/>
        <w:tblInd w:w="108" w:type="dxa"/>
        <w:tblLayout w:type="fixed"/>
        <w:tblCellMar>
          <w:top w:w="0" w:type="dxa"/>
          <w:left w:w="108" w:type="dxa"/>
          <w:bottom w:w="0" w:type="dxa"/>
          <w:right w:w="108" w:type="dxa"/>
        </w:tblCellMar>
      </w:tblPr>
      <w:tblGrid>
        <w:gridCol w:w="620"/>
        <w:gridCol w:w="1043"/>
        <w:gridCol w:w="1560"/>
        <w:gridCol w:w="1440"/>
        <w:gridCol w:w="2085"/>
        <w:gridCol w:w="2400"/>
      </w:tblGrid>
      <w:tr>
        <w:tblPrEx>
          <w:tblLayout w:type="fixed"/>
          <w:tblCellMar>
            <w:top w:w="0" w:type="dxa"/>
            <w:left w:w="108" w:type="dxa"/>
            <w:bottom w:w="0" w:type="dxa"/>
            <w:right w:w="108" w:type="dxa"/>
          </w:tblCellMar>
        </w:tblPrEx>
        <w:trPr>
          <w:trHeight w:val="2155" w:hRule="atLeast"/>
          <w:jc w:val="center"/>
        </w:trPr>
        <w:tc>
          <w:tcPr>
            <w:tcW w:w="9148" w:type="dxa"/>
            <w:gridSpan w:val="6"/>
            <w:tcBorders>
              <w:top w:val="nil"/>
              <w:left w:val="nil"/>
              <w:bottom w:val="nil"/>
              <w:right w:val="nil"/>
            </w:tcBorders>
            <w:noWrap w:val="0"/>
            <w:vAlign w:val="center"/>
          </w:tcPr>
          <w:p>
            <w:pPr>
              <w:pStyle w:val="6"/>
              <w:overflowPunct w:val="0"/>
              <w:topLinePunct/>
              <w:snapToGrid w:val="0"/>
              <w:spacing w:before="0" w:line="580" w:lineRule="exact"/>
              <w:ind w:left="0"/>
              <w:rPr>
                <w:rFonts w:hint="default" w:ascii="Times New Roman" w:hAnsi="Times New Roman" w:eastAsia="黑体" w:cs="Times New Roman"/>
                <w:lang w:val="en-US"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5</w:t>
            </w:r>
          </w:p>
          <w:p>
            <w:pPr>
              <w:pStyle w:val="6"/>
              <w:overflowPunct w:val="0"/>
              <w:topLinePunct/>
              <w:snapToGrid w:val="0"/>
              <w:spacing w:before="0" w:line="580" w:lineRule="exact"/>
              <w:ind w:left="0"/>
              <w:rPr>
                <w:rFonts w:hint="default" w:ascii="Times New Roman" w:hAnsi="Times New Roman" w:eastAsia="黑体" w:cs="Times New Roman"/>
              </w:rPr>
            </w:pPr>
          </w:p>
          <w:p>
            <w:pPr>
              <w:widowControl/>
              <w:autoSpaceDE/>
              <w:autoSpaceDN/>
              <w:adjustRightInd/>
              <w:jc w:val="center"/>
              <w:rPr>
                <w:rFonts w:hint="default" w:ascii="Times New Roman" w:hAnsi="Times New Roman" w:eastAsia="方正小标宋简体" w:cs="Times New Roman"/>
                <w:w w:val="98"/>
                <w:sz w:val="44"/>
                <w:szCs w:val="40"/>
              </w:rPr>
            </w:pPr>
            <w:r>
              <w:rPr>
                <w:rFonts w:hint="default" w:ascii="Times New Roman" w:hAnsi="Times New Roman" w:eastAsia="方正小标宋简体" w:cs="Times New Roman"/>
                <w:w w:val="98"/>
                <w:sz w:val="44"/>
                <w:szCs w:val="40"/>
              </w:rPr>
              <w:t>各区（市）县咨询电话</w:t>
            </w:r>
          </w:p>
          <w:p>
            <w:pPr>
              <w:widowControl/>
              <w:autoSpaceDE/>
              <w:autoSpaceDN/>
              <w:adjustRightInd/>
              <w:jc w:val="center"/>
              <w:rPr>
                <w:rFonts w:hint="default" w:ascii="Times New Roman" w:hAnsi="Times New Roman" w:eastAsia="方正小标宋简体" w:cs="Times New Roman"/>
                <w:w w:val="98"/>
                <w:sz w:val="22"/>
                <w:szCs w:val="21"/>
              </w:rPr>
            </w:pPr>
          </w:p>
        </w:tc>
      </w:tr>
      <w:tr>
        <w:tblPrEx>
          <w:tblLayout w:type="fixed"/>
          <w:tblCellMar>
            <w:top w:w="0" w:type="dxa"/>
            <w:left w:w="108" w:type="dxa"/>
            <w:bottom w:w="0" w:type="dxa"/>
            <w:right w:w="108" w:type="dxa"/>
          </w:tblCellMar>
        </w:tblPrEx>
        <w:trPr>
          <w:trHeight w:val="475" w:hRule="atLeast"/>
          <w:jc w:val="center"/>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序号</w:t>
            </w:r>
          </w:p>
        </w:tc>
        <w:tc>
          <w:tcPr>
            <w:tcW w:w="1043"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市州</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区</w:t>
            </w:r>
            <w:r>
              <w:rPr>
                <w:rFonts w:hint="default" w:ascii="Times New Roman" w:hAnsi="Times New Roman" w:eastAsia="黑体" w:cs="Times New Roman"/>
                <w:sz w:val="20"/>
                <w:szCs w:val="20"/>
                <w:lang w:eastAsia="zh-CN"/>
              </w:rPr>
              <w:t>（市）</w:t>
            </w:r>
            <w:r>
              <w:rPr>
                <w:rFonts w:hint="default" w:ascii="Times New Roman" w:hAnsi="Times New Roman" w:eastAsia="黑体" w:cs="Times New Roman"/>
                <w:sz w:val="20"/>
                <w:szCs w:val="20"/>
              </w:rPr>
              <w:t>县</w:t>
            </w:r>
          </w:p>
        </w:tc>
        <w:tc>
          <w:tcPr>
            <w:tcW w:w="144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联系人</w:t>
            </w:r>
          </w:p>
        </w:tc>
        <w:tc>
          <w:tcPr>
            <w:tcW w:w="2085" w:type="dxa"/>
            <w:tcBorders>
              <w:top w:val="single" w:color="auto" w:sz="4" w:space="0"/>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联系方式</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邮箱</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lang w:val="en-US" w:eastAsia="zh-CN"/>
              </w:rPr>
              <w:t>1</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四川</w:t>
            </w:r>
            <w:r>
              <w:rPr>
                <w:rFonts w:hint="default" w:ascii="Times New Roman" w:hAnsi="Times New Roman" w:eastAsia="方正仿宋简体" w:cs="Times New Roman"/>
                <w:color w:val="000000"/>
                <w:sz w:val="20"/>
                <w:szCs w:val="20"/>
              </w:rPr>
              <w:t>天府新区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李素蓉</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02868772357</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85769389@qq.com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lang w:val="en-US" w:eastAsia="zh-CN"/>
              </w:rPr>
              <w:t>2</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成都</w:t>
            </w:r>
            <w:r>
              <w:rPr>
                <w:rFonts w:hint="default" w:ascii="Times New Roman" w:hAnsi="Times New Roman" w:eastAsia="方正仿宋简体" w:cs="Times New Roman"/>
                <w:color w:val="000000"/>
                <w:sz w:val="20"/>
                <w:szCs w:val="20"/>
              </w:rPr>
              <w:t>东部新区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罗安</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02886360135</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779708404@qq.com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3</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成都</w:t>
            </w:r>
            <w:r>
              <w:rPr>
                <w:rFonts w:hint="default" w:ascii="Times New Roman" w:hAnsi="Times New Roman" w:eastAsia="方正仿宋简体" w:cs="Times New Roman"/>
                <w:color w:val="000000"/>
                <w:sz w:val="20"/>
                <w:szCs w:val="20"/>
              </w:rPr>
              <w:t>高新区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钟万良</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02885170861</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879661017@qq.com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4</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锦江区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王怡玲</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02886665948</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642890042@qq.com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5</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青羊区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lang w:eastAsia="zh-CN"/>
              </w:rPr>
            </w:pPr>
            <w:r>
              <w:rPr>
                <w:rFonts w:hint="default" w:ascii="Times New Roman" w:hAnsi="Times New Roman" w:eastAsia="方正仿宋简体" w:cs="Times New Roman"/>
                <w:color w:val="000000"/>
                <w:sz w:val="20"/>
                <w:szCs w:val="20"/>
                <w:lang w:eastAsia="zh-CN"/>
              </w:rPr>
              <w:t>曹慧琳</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02886252440</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277358079@qq.com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6</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金牛区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李辉</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02887508339</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6186772@qq.com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7</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武侯区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冯波</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02885082236</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1055653533@qq.com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8</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成华区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lang w:eastAsia="zh-CN"/>
              </w:rPr>
            </w:pPr>
            <w:r>
              <w:rPr>
                <w:rFonts w:hint="default" w:ascii="Times New Roman" w:hAnsi="Times New Roman" w:eastAsia="方正仿宋简体" w:cs="Times New Roman"/>
                <w:color w:val="000000"/>
                <w:sz w:val="20"/>
                <w:szCs w:val="20"/>
                <w:lang w:eastAsia="zh-CN"/>
              </w:rPr>
              <w:t>李正乐</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lang w:val="en-US" w:eastAsia="zh-CN"/>
              </w:rPr>
            </w:pPr>
            <w:r>
              <w:rPr>
                <w:rFonts w:hint="default" w:ascii="Times New Roman" w:hAnsi="Times New Roman" w:eastAsia="方正仿宋简体" w:cs="Times New Roman"/>
                <w:color w:val="000000"/>
                <w:sz w:val="20"/>
                <w:szCs w:val="20"/>
              </w:rPr>
              <w:t>02884</w:t>
            </w:r>
            <w:r>
              <w:rPr>
                <w:rFonts w:hint="default" w:ascii="Times New Roman" w:hAnsi="Times New Roman" w:eastAsia="方正仿宋简体" w:cs="Times New Roman"/>
                <w:color w:val="000000"/>
                <w:sz w:val="20"/>
                <w:szCs w:val="20"/>
                <w:lang w:val="en-US" w:eastAsia="zh-CN"/>
              </w:rPr>
              <w:t>311173</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FF0000"/>
                <w:sz w:val="21"/>
                <w:szCs w:val="21"/>
              </w:rPr>
            </w:pPr>
            <w:r>
              <w:rPr>
                <w:rFonts w:hint="default" w:ascii="Times New Roman" w:hAnsi="Times New Roman" w:eastAsia="方正仿宋简体" w:cs="Times New Roman"/>
                <w:sz w:val="21"/>
                <w:szCs w:val="21"/>
              </w:rPr>
              <w:t>22281197@qq.com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9</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龙泉驿区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陈璇</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02884853266</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1290656112@qq.com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10</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青白江区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lang w:eastAsia="zh-CN"/>
              </w:rPr>
            </w:pPr>
            <w:r>
              <w:rPr>
                <w:rFonts w:hint="default" w:ascii="Times New Roman" w:hAnsi="Times New Roman" w:eastAsia="方正仿宋简体" w:cs="Times New Roman"/>
                <w:color w:val="000000"/>
                <w:sz w:val="20"/>
                <w:szCs w:val="20"/>
                <w:lang w:eastAsia="zh-CN"/>
              </w:rPr>
              <w:t>李雨霜</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02883301026</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2870172481@qq.com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11</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新都区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张驰</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02883013221</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541529450@qq.com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12</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温江区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张程昊</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w:t>
            </w:r>
            <w:bookmarkStart w:id="2" w:name="_GoBack"/>
            <w:bookmarkEnd w:id="2"/>
            <w:r>
              <w:rPr>
                <w:rFonts w:hint="default" w:ascii="Times New Roman" w:hAnsi="Times New Roman" w:eastAsia="方正仿宋简体" w:cs="Times New Roman"/>
                <w:color w:val="000000"/>
                <w:sz w:val="20"/>
                <w:szCs w:val="20"/>
              </w:rPr>
              <w:t>882722657</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1660301328@qq.com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13</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双流区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张旭</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02885827843</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1769663437@qq.com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14</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郫都区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谢欢</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val="en-US" w:eastAsia="zh-CN"/>
              </w:rPr>
              <w:t>02887862133</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1261665057@qq.com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15</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新津区</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王利丽</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02882522418</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87859931@qq.com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16</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简阳市</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李一菲</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 xml:space="preserve">02827029219 </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sz w:val="20"/>
                <w:szCs w:val="20"/>
              </w:rPr>
              <w:t>775612736@qq.com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17</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都江堰市</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陈月娇</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02862165742</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809879244@qq.com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18</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彭州市</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eastAsia="zh-CN"/>
              </w:rPr>
              <w:t>钱柳</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lang w:val="en-US" w:eastAsia="zh-CN"/>
              </w:rPr>
              <w:t>02886230972</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qian6608@foxmail.com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19</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邛崃市</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潘长龙</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02888791329</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1582537049@qq.com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20</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崇州市</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倪琦</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02882279085</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573864936@qq.com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21</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金堂县</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王秋敏</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02884921680</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591064443@qq.com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22</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大邑县</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周宇</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02888333757</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790688450@qq.com</w:t>
            </w:r>
          </w:p>
        </w:tc>
      </w:tr>
      <w:tr>
        <w:tblPrEx>
          <w:tblLayout w:type="fixed"/>
          <w:tblCellMar>
            <w:top w:w="0" w:type="dxa"/>
            <w:left w:w="108" w:type="dxa"/>
            <w:bottom w:w="0" w:type="dxa"/>
            <w:right w:w="108" w:type="dxa"/>
          </w:tblCellMar>
        </w:tblPrEx>
        <w:trPr>
          <w:trHeight w:val="425" w:hRule="atLeast"/>
          <w:jc w:val="center"/>
        </w:trPr>
        <w:tc>
          <w:tcPr>
            <w:tcW w:w="62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23</w:t>
            </w:r>
          </w:p>
        </w:tc>
        <w:tc>
          <w:tcPr>
            <w:tcW w:w="1043"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成都市</w:t>
            </w:r>
          </w:p>
        </w:tc>
        <w:tc>
          <w:tcPr>
            <w:tcW w:w="156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蒲江县</w:t>
            </w:r>
          </w:p>
        </w:tc>
        <w:tc>
          <w:tcPr>
            <w:tcW w:w="1440" w:type="dxa"/>
            <w:tcBorders>
              <w:top w:val="nil"/>
              <w:left w:val="nil"/>
              <w:bottom w:val="single" w:color="auto" w:sz="4" w:space="0"/>
              <w:right w:val="nil"/>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李凤</w:t>
            </w:r>
          </w:p>
        </w:tc>
        <w:tc>
          <w:tcPr>
            <w:tcW w:w="2085"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color w:val="000000"/>
                <w:sz w:val="20"/>
                <w:szCs w:val="20"/>
              </w:rPr>
            </w:pPr>
            <w:r>
              <w:rPr>
                <w:rFonts w:hint="default" w:ascii="Times New Roman" w:hAnsi="Times New Roman" w:eastAsia="方正仿宋简体" w:cs="Times New Roman"/>
                <w:color w:val="000000"/>
                <w:sz w:val="20"/>
                <w:szCs w:val="20"/>
              </w:rPr>
              <w:t>02869205629</w:t>
            </w:r>
          </w:p>
        </w:tc>
        <w:tc>
          <w:tcPr>
            <w:tcW w:w="2400"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default" w:ascii="Times New Roman" w:hAnsi="Times New Roman" w:eastAsia="方正仿宋简体" w:cs="Times New Roman"/>
                <w:sz w:val="20"/>
                <w:szCs w:val="20"/>
              </w:rPr>
            </w:pPr>
            <w:r>
              <w:rPr>
                <w:rFonts w:hint="default" w:ascii="Times New Roman" w:hAnsi="Times New Roman" w:eastAsia="方正仿宋简体" w:cs="Times New Roman"/>
                <w:sz w:val="20"/>
                <w:szCs w:val="20"/>
              </w:rPr>
              <w:t>990080171@qq.com</w:t>
            </w:r>
          </w:p>
        </w:tc>
      </w:tr>
    </w:tbl>
    <w:p>
      <w:pPr>
        <w:pStyle w:val="2"/>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2553"/>
    <w:rsid w:val="398C2075"/>
    <w:rsid w:val="405F26C8"/>
    <w:rsid w:val="50DB2D7F"/>
    <w:rsid w:val="736648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320"/>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214"/>
      <w:ind w:left="1200" w:hanging="241"/>
      <w:outlineLvl w:val="2"/>
    </w:pPr>
    <w:rPr>
      <w:rFonts w:ascii="仿宋_GB2312" w:hAnsi="仿宋_GB2312" w:eastAsia="仿宋_GB2312" w:cs="仿宋_GB2312"/>
      <w:b/>
      <w:bCs/>
      <w:sz w:val="32"/>
      <w:szCs w:val="32"/>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Salutation"/>
    <w:basedOn w:val="1"/>
    <w:next w:val="1"/>
    <w:qFormat/>
    <w:uiPriority w:val="99"/>
    <w:pPr>
      <w:spacing w:line="240" w:lineRule="auto"/>
    </w:pPr>
    <w:rPr>
      <w:rFonts w:eastAsia="宋体"/>
      <w:sz w:val="21"/>
      <w:szCs w:val="22"/>
    </w:rPr>
  </w:style>
  <w:style w:type="paragraph" w:styleId="6">
    <w:name w:val="Body Text"/>
    <w:basedOn w:val="1"/>
    <w:next w:val="7"/>
    <w:qFormat/>
    <w:uiPriority w:val="1"/>
    <w:pPr>
      <w:spacing w:before="214"/>
      <w:ind w:left="960"/>
    </w:pPr>
    <w:rPr>
      <w:rFonts w:ascii="仿宋_GB2312" w:hAnsi="仿宋_GB2312" w:eastAsia="仿宋_GB2312" w:cs="仿宋_GB2312"/>
      <w:sz w:val="32"/>
      <w:szCs w:val="32"/>
    </w:rPr>
  </w:style>
  <w:style w:type="paragraph" w:styleId="7">
    <w:name w:val="Title"/>
    <w:basedOn w:val="1"/>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List Paragraph"/>
    <w:basedOn w:val="1"/>
    <w:qFormat/>
    <w:uiPriority w:val="1"/>
    <w:pPr>
      <w:spacing w:before="214"/>
      <w:ind w:left="1200" w:hanging="241"/>
    </w:pPr>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2023-02-20T01:46:46Z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